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E6D8" w14:textId="1642F712" w:rsidR="00B70A26" w:rsidRPr="00CA38DB" w:rsidRDefault="00701FF0" w:rsidP="00C5639C">
      <w:pPr>
        <w:pStyle w:val="SBEHeaderRed"/>
        <w:jc w:val="center"/>
        <w:rPr>
          <w:rFonts w:ascii="Segoe UI Historic" w:hAnsi="Segoe UI Historic" w:cs="Segoe UI Historic"/>
        </w:rPr>
      </w:pPr>
      <w:r>
        <w:rPr>
          <w:rFonts w:ascii="Segoe UI Historic" w:hAnsi="Segoe UI Historic" w:cs="Segoe UI Historic"/>
        </w:rPr>
        <w:t>Math</w:t>
      </w:r>
      <w:r w:rsidR="00970B79" w:rsidRPr="00CA38DB">
        <w:rPr>
          <w:rFonts w:ascii="Segoe UI Historic" w:hAnsi="Segoe UI Historic" w:cs="Segoe UI Historic"/>
        </w:rPr>
        <w:t xml:space="preserve"> Focus Standards for Graduation Pathways</w:t>
      </w:r>
    </w:p>
    <w:p w14:paraId="3B7EDC36" w14:textId="77777777" w:rsidR="00CA38DB" w:rsidRDefault="00970B79" w:rsidP="00CA38DB">
      <w:pPr>
        <w:pStyle w:val="SBEnormal"/>
        <w:spacing w:after="240"/>
        <w:rPr>
          <w:rFonts w:ascii="Segoe UI Historic" w:eastAsiaTheme="majorEastAsia" w:hAnsi="Segoe UI Historic" w:cs="Segoe UI Historic"/>
        </w:rPr>
      </w:pPr>
      <w:r w:rsidRPr="00833299">
        <w:rPr>
          <w:rFonts w:ascii="Segoe UI" w:eastAsiaTheme="majorEastAsia" w:hAnsi="Segoe UI" w:cs="Segoe UI"/>
          <w:color w:val="000000" w:themeColor="text1"/>
        </w:rPr>
        <w:t xml:space="preserve">The State Board of Education, in collaboration with the Office of Superintendent of Public Instruction, is developing resources to support implementation of a performance-based pathway to graduation for high school students across the state of Washington. This is in alignment with the following requirement: </w:t>
      </w:r>
      <w:hyperlink r:id="rId8" w:history="1">
        <w:r w:rsidRPr="00CA38DB">
          <w:rPr>
            <w:rStyle w:val="Hyperlink"/>
            <w:rFonts w:ascii="Segoe UI Historic" w:eastAsiaTheme="majorEastAsia" w:hAnsi="Segoe UI Historic" w:cs="Segoe UI Historic"/>
            <w:szCs w:val="26"/>
          </w:rPr>
          <w:t>HB 1308: High School Graduation Pathway Options - Various Provisions</w:t>
        </w:r>
      </w:hyperlink>
      <w:r w:rsidRPr="00CA38DB">
        <w:rPr>
          <w:rFonts w:ascii="Segoe UI Historic" w:eastAsiaTheme="majorEastAsia" w:hAnsi="Segoe UI Historic" w:cs="Segoe UI Historic"/>
        </w:rPr>
        <w:t>.</w:t>
      </w:r>
    </w:p>
    <w:p w14:paraId="7F689331" w14:textId="3DFB043F" w:rsidR="00CA38DB" w:rsidRDefault="00970B79" w:rsidP="00CA38DB">
      <w:pPr>
        <w:pStyle w:val="SBEnormal"/>
        <w:spacing w:after="240"/>
        <w:rPr>
          <w:rFonts w:ascii="Segoe UI Historic" w:eastAsiaTheme="majorEastAsia" w:hAnsi="Segoe UI Historic" w:cs="Segoe UI Historic"/>
        </w:rPr>
      </w:pPr>
      <w:r w:rsidRPr="00CA38DB">
        <w:rPr>
          <w:rFonts w:ascii="Segoe UI Historic" w:eastAsiaTheme="majorEastAsia" w:hAnsi="Segoe UI Historic" w:cs="Segoe UI Historic"/>
        </w:rPr>
        <w:t xml:space="preserve">The intent of this document is to provide guidance for schools and districts on the number and assortment of </w:t>
      </w:r>
      <w:r w:rsidR="00701FF0">
        <w:rPr>
          <w:rFonts w:ascii="Segoe UI Historic" w:eastAsiaTheme="majorEastAsia" w:hAnsi="Segoe UI Historic" w:cs="Segoe UI Historic"/>
          <w:b/>
          <w:bCs/>
        </w:rPr>
        <w:t>mathemat</w:t>
      </w:r>
      <w:r w:rsidR="0040795A">
        <w:rPr>
          <w:rFonts w:ascii="Segoe UI Historic" w:eastAsiaTheme="majorEastAsia" w:hAnsi="Segoe UI Historic" w:cs="Segoe UI Historic"/>
          <w:b/>
          <w:bCs/>
        </w:rPr>
        <w:t>i</w:t>
      </w:r>
      <w:r w:rsidR="00701FF0">
        <w:rPr>
          <w:rFonts w:ascii="Segoe UI Historic" w:eastAsiaTheme="majorEastAsia" w:hAnsi="Segoe UI Historic" w:cs="Segoe UI Historic"/>
          <w:b/>
          <w:bCs/>
        </w:rPr>
        <w:t>cs</w:t>
      </w:r>
      <w:r w:rsidRPr="00CA38DB">
        <w:rPr>
          <w:rFonts w:ascii="Segoe UI Historic" w:eastAsiaTheme="majorEastAsia" w:hAnsi="Segoe UI Historic" w:cs="Segoe UI Historic"/>
        </w:rPr>
        <w:t xml:space="preserve"> standards </w:t>
      </w:r>
      <w:r w:rsidR="0040795A">
        <w:rPr>
          <w:rFonts w:ascii="Segoe UI Historic" w:eastAsiaTheme="majorEastAsia" w:hAnsi="Segoe UI Historic" w:cs="Segoe UI Historic"/>
        </w:rPr>
        <w:t xml:space="preserve">and practices </w:t>
      </w:r>
      <w:r w:rsidRPr="00CA38DB">
        <w:rPr>
          <w:rFonts w:ascii="Segoe UI Historic" w:eastAsiaTheme="majorEastAsia" w:hAnsi="Segoe UI Historic" w:cs="Segoe UI Historic"/>
        </w:rPr>
        <w:t xml:space="preserve">which must be incorporated into the design of the learning experience and assessed within the performance-based graduation pathway. </w:t>
      </w:r>
      <w:r w:rsidRPr="00CA38DB">
        <w:rPr>
          <w:rFonts w:ascii="Segoe UI Historic" w:eastAsiaTheme="majorEastAsia" w:hAnsi="Segoe UI Historic" w:cs="Segoe UI Historic"/>
          <w:i/>
          <w:iCs/>
        </w:rPr>
        <w:t xml:space="preserve">Throughout this document “learning experience” is used as it was explained in related legislation: “may take a variety of forms, such as a project, practicum, work-related experience, community service, or cultural activity, and may result in a variety of products that can be evaluated, such as a performance, presentation, portfolio, report, film, or exhibit” </w:t>
      </w:r>
      <w:r w:rsidRPr="00CA38DB">
        <w:rPr>
          <w:rFonts w:ascii="Segoe UI Historic" w:eastAsiaTheme="majorEastAsia" w:hAnsi="Segoe UI Historic" w:cs="Segoe UI Historic"/>
        </w:rPr>
        <w:t>(please see</w:t>
      </w:r>
      <w:r w:rsidRPr="00CA38DB">
        <w:rPr>
          <w:rFonts w:ascii="Segoe UI Historic" w:eastAsiaTheme="majorEastAsia" w:hAnsi="Segoe UI Historic" w:cs="Segoe UI Historic"/>
          <w:i/>
          <w:iCs/>
        </w:rPr>
        <w:t xml:space="preserve"> </w:t>
      </w:r>
      <w:hyperlink r:id="rId9" w:history="1">
        <w:r w:rsidRPr="00CA38DB">
          <w:rPr>
            <w:rStyle w:val="Hyperlink"/>
            <w:rFonts w:ascii="Segoe UI Historic" w:eastAsiaTheme="majorEastAsia" w:hAnsi="Segoe UI Historic" w:cs="Segoe UI Historic"/>
            <w:szCs w:val="26"/>
          </w:rPr>
          <w:t>HB 1308</w:t>
        </w:r>
      </w:hyperlink>
      <w:r w:rsidRPr="00CA38DB">
        <w:rPr>
          <w:rFonts w:ascii="Segoe UI Historic" w:eastAsiaTheme="majorEastAsia" w:hAnsi="Segoe UI Historic" w:cs="Segoe UI Historic"/>
        </w:rPr>
        <w:t xml:space="preserve"> for more information). Flexibility with the selection of some of the standards is necessary in order to ensure that the learning experience can be designed to be both student-centered and responsive to interests and goals of the student.</w:t>
      </w:r>
    </w:p>
    <w:p w14:paraId="2DD733A1" w14:textId="57A5C69F" w:rsidR="00D50C07" w:rsidRDefault="00701FF0" w:rsidP="00CA38DB">
      <w:pPr>
        <w:pStyle w:val="SBEnormal"/>
        <w:spacing w:after="240"/>
        <w:rPr>
          <w:rFonts w:ascii="Segoe UI Historic" w:hAnsi="Segoe UI Historic" w:cs="Segoe UI Historic"/>
        </w:rPr>
      </w:pPr>
      <w:r w:rsidRPr="00701FF0">
        <w:rPr>
          <w:rFonts w:ascii="Segoe UI Historic" w:hAnsi="Segoe UI Historic" w:cs="Segoe UI Historic"/>
        </w:rPr>
        <w:t>Since the ultimate goal is for students to produce evidence of meeting high school mathematics learning standards by demonstrating knowledge and skills in a real-world context, aligned to the student’s</w:t>
      </w:r>
      <w:r>
        <w:rPr>
          <w:rFonts w:ascii="Segoe UI Historic" w:hAnsi="Segoe UI Historic" w:cs="Segoe UI Historic"/>
        </w:rPr>
        <w:t xml:space="preserve"> </w:t>
      </w:r>
      <w:hyperlink r:id="rId10" w:history="1">
        <w:r w:rsidR="00970B79" w:rsidRPr="00CA38DB">
          <w:rPr>
            <w:rStyle w:val="Hyperlink"/>
            <w:rFonts w:ascii="Segoe UI Historic" w:hAnsi="Segoe UI Historic" w:cs="Segoe UI Historic"/>
          </w:rPr>
          <w:t>High School and Beyond Plan</w:t>
        </w:r>
      </w:hyperlink>
      <w:r w:rsidR="00970B79" w:rsidRPr="00CA38DB">
        <w:rPr>
          <w:rFonts w:ascii="Segoe UI Historic" w:hAnsi="Segoe UI Historic" w:cs="Segoe UI Historic"/>
        </w:rPr>
        <w:t>, performance-based learning experiences</w:t>
      </w:r>
      <w:r w:rsidR="003E02C5">
        <w:rPr>
          <w:rStyle w:val="FootnoteReference"/>
          <w:rFonts w:ascii="Segoe UI Historic" w:hAnsi="Segoe UI Historic" w:cs="Segoe UI Historic"/>
        </w:rPr>
        <w:footnoteReference w:id="1"/>
      </w:r>
      <w:r w:rsidR="00970B79" w:rsidRPr="00CA38DB">
        <w:rPr>
          <w:rFonts w:ascii="Segoe UI Historic" w:hAnsi="Segoe UI Historic" w:cs="Segoe UI Historic"/>
        </w:rPr>
        <w:t xml:space="preserve"> </w:t>
      </w:r>
      <w:r w:rsidR="0040795A">
        <w:rPr>
          <w:rFonts w:ascii="Segoe UI Historic" w:hAnsi="Segoe UI Historic" w:cs="Segoe UI Historic"/>
        </w:rPr>
        <w:t xml:space="preserve">will be created </w:t>
      </w:r>
      <w:r w:rsidRPr="00701FF0">
        <w:rPr>
          <w:rFonts w:ascii="Segoe UI Historic" w:hAnsi="Segoe UI Historic" w:cs="Segoe UI Historic"/>
        </w:rPr>
        <w:t>based on a combination of the high school mathematics standards and mathematics practices (Figure 1)</w:t>
      </w:r>
      <w:r>
        <w:rPr>
          <w:rFonts w:ascii="Segoe UI Historic" w:hAnsi="Segoe UI Historic" w:cs="Segoe UI Historic"/>
        </w:rPr>
        <w:t xml:space="preserve">. Both the standards and practices are identified </w:t>
      </w:r>
      <w:r w:rsidR="00970B79" w:rsidRPr="00CA38DB">
        <w:rPr>
          <w:rFonts w:ascii="Segoe UI Historic" w:hAnsi="Segoe UI Historic" w:cs="Segoe UI Historic"/>
        </w:rPr>
        <w:t>by the</w:t>
      </w:r>
      <w:r>
        <w:rPr>
          <w:rFonts w:ascii="Segoe UI Historic" w:hAnsi="Segoe UI Historic" w:cs="Segoe UI Historic"/>
        </w:rPr>
        <w:t xml:space="preserve"> </w:t>
      </w:r>
      <w:hyperlink r:id="rId11" w:history="1">
        <w:r w:rsidRPr="00701FF0">
          <w:rPr>
            <w:rStyle w:val="Hyperlink"/>
            <w:rFonts w:ascii="Segoe UI Historic" w:hAnsi="Segoe UI Historic" w:cs="Segoe UI Historic"/>
          </w:rPr>
          <w:t>Washington State Mathematics Standards for High School</w:t>
        </w:r>
      </w:hyperlink>
      <w:r>
        <w:rPr>
          <w:rFonts w:ascii="Segoe UI Historic" w:hAnsi="Segoe UI Historic" w:cs="Segoe UI Historic"/>
        </w:rPr>
        <w:t>.</w:t>
      </w:r>
    </w:p>
    <w:tbl>
      <w:tblPr>
        <w:tblStyle w:val="TableGrid"/>
        <w:tblW w:w="0" w:type="auto"/>
        <w:tblLook w:val="04A0" w:firstRow="1" w:lastRow="0" w:firstColumn="1" w:lastColumn="0" w:noHBand="0" w:noVBand="1"/>
      </w:tblPr>
      <w:tblGrid>
        <w:gridCol w:w="5665"/>
        <w:gridCol w:w="4320"/>
      </w:tblGrid>
      <w:tr w:rsidR="00AB0B92" w14:paraId="7F22F117" w14:textId="77777777" w:rsidTr="00D064B2">
        <w:trPr>
          <w:trHeight w:val="512"/>
          <w:tblHeader/>
        </w:trPr>
        <w:tc>
          <w:tcPr>
            <w:tcW w:w="9985" w:type="dxa"/>
            <w:gridSpan w:val="2"/>
            <w:tcBorders>
              <w:top w:val="single" w:sz="8" w:space="0" w:color="FFFFFF" w:themeColor="background1"/>
              <w:left w:val="single" w:sz="8" w:space="0" w:color="000000" w:themeColor="text1"/>
              <w:bottom w:val="single" w:sz="8" w:space="0" w:color="FFFFFF" w:themeColor="background1"/>
              <w:right w:val="single" w:sz="8" w:space="0" w:color="000000" w:themeColor="text1"/>
            </w:tcBorders>
            <w:shd w:val="clear" w:color="auto" w:fill="auto"/>
            <w:vAlign w:val="center"/>
          </w:tcPr>
          <w:p w14:paraId="71F5D616" w14:textId="77777777" w:rsidR="00AB0B92" w:rsidRPr="00D50C07" w:rsidRDefault="00AB0B92" w:rsidP="0043093D">
            <w:pPr>
              <w:pStyle w:val="SBEnormal"/>
              <w:rPr>
                <w:b/>
                <w:bCs/>
              </w:rPr>
            </w:pPr>
            <w:r w:rsidRPr="00D064B2">
              <w:rPr>
                <w:rFonts w:ascii="Segoe UI" w:eastAsiaTheme="majorEastAsia" w:hAnsi="Segoe UI" w:cs="Segoe UI"/>
                <w:b/>
                <w:bCs/>
                <w:color w:val="000000" w:themeColor="text1"/>
              </w:rPr>
              <w:t>Figure 1.  Guidance on selection of mathematical practices</w:t>
            </w:r>
          </w:p>
        </w:tc>
      </w:tr>
      <w:tr w:rsidR="00AB0B92" w14:paraId="202F6A99" w14:textId="77777777" w:rsidTr="00D064B2">
        <w:trPr>
          <w:tblHeader/>
        </w:trPr>
        <w:tc>
          <w:tcPr>
            <w:tcW w:w="5665" w:type="dxa"/>
            <w:tcBorders>
              <w:top w:val="single" w:sz="8" w:space="0" w:color="FFFFFF" w:themeColor="background1"/>
              <w:left w:val="single" w:sz="8" w:space="0" w:color="000000" w:themeColor="text1"/>
              <w:bottom w:val="single" w:sz="8" w:space="0" w:color="FFFFFF" w:themeColor="background1"/>
              <w:right w:val="single" w:sz="4" w:space="0" w:color="000000" w:themeColor="text1"/>
            </w:tcBorders>
            <w:shd w:val="clear" w:color="auto" w:fill="auto"/>
            <w:vAlign w:val="center"/>
          </w:tcPr>
          <w:p w14:paraId="7A87FD28" w14:textId="77777777" w:rsidR="00AB0B92" w:rsidRPr="00D064B2" w:rsidRDefault="00AB0B92" w:rsidP="0043093D">
            <w:pPr>
              <w:pStyle w:val="SBEnormal"/>
              <w:rPr>
                <w:b/>
                <w:bCs/>
                <w:color w:val="000000" w:themeColor="text1"/>
              </w:rPr>
            </w:pPr>
            <w:r w:rsidRPr="00D064B2">
              <w:rPr>
                <w:rFonts w:ascii="Segoe UI Historic" w:hAnsi="Segoe UI Historic" w:cs="Segoe UI Historic"/>
                <w:b/>
                <w:bCs/>
                <w:color w:val="000000" w:themeColor="text1"/>
              </w:rPr>
              <w:t>Mathematical Practices</w:t>
            </w:r>
            <w:r w:rsidRPr="00D064B2">
              <w:rPr>
                <w:rStyle w:val="FootnoteReference"/>
                <w:rFonts w:ascii="Segoe UI Historic" w:hAnsi="Segoe UI Historic" w:cs="Segoe UI Historic"/>
                <w:b/>
                <w:bCs/>
                <w:color w:val="000000" w:themeColor="text1"/>
              </w:rPr>
              <w:footnoteReference w:id="2"/>
            </w:r>
          </w:p>
        </w:tc>
        <w:tc>
          <w:tcPr>
            <w:tcW w:w="4320" w:type="dxa"/>
            <w:tcBorders>
              <w:top w:val="single" w:sz="8" w:space="0" w:color="FFFFFF" w:themeColor="background1"/>
              <w:left w:val="single" w:sz="4" w:space="0" w:color="000000" w:themeColor="text1"/>
              <w:bottom w:val="single" w:sz="8" w:space="0" w:color="FFFFFF" w:themeColor="background1"/>
              <w:right w:val="single" w:sz="8" w:space="0" w:color="000000" w:themeColor="text1"/>
            </w:tcBorders>
            <w:shd w:val="clear" w:color="auto" w:fill="auto"/>
            <w:vAlign w:val="center"/>
          </w:tcPr>
          <w:p w14:paraId="4E07E6D5" w14:textId="77777777" w:rsidR="00AB0B92" w:rsidRPr="00D064B2" w:rsidRDefault="00AB0B92" w:rsidP="0043093D">
            <w:pPr>
              <w:pStyle w:val="SBEnormal"/>
              <w:rPr>
                <w:rFonts w:ascii="Segoe UI Historic" w:hAnsi="Segoe UI Historic" w:cs="Segoe UI Historic"/>
                <w:b/>
                <w:bCs/>
                <w:color w:val="000000" w:themeColor="text1"/>
              </w:rPr>
            </w:pPr>
            <w:r w:rsidRPr="00D064B2">
              <w:rPr>
                <w:rFonts w:ascii="Segoe UI Historic" w:hAnsi="Segoe UI Historic" w:cs="Segoe UI Historic"/>
                <w:b/>
                <w:bCs/>
                <w:color w:val="000000" w:themeColor="text1"/>
              </w:rPr>
              <w:t>Guidance</w:t>
            </w:r>
          </w:p>
        </w:tc>
      </w:tr>
      <w:tr w:rsidR="00D50C07" w14:paraId="3ED271F0" w14:textId="77777777" w:rsidTr="0055573F">
        <w:tc>
          <w:tcPr>
            <w:tcW w:w="5665" w:type="dxa"/>
            <w:tcBorders>
              <w:top w:val="single" w:sz="8" w:space="0" w:color="FFFFFF" w:themeColor="background1"/>
            </w:tcBorders>
          </w:tcPr>
          <w:p w14:paraId="6A00AD92" w14:textId="77777777" w:rsidR="00D50C07" w:rsidRPr="00D50C07" w:rsidRDefault="00D50C07" w:rsidP="00D50C07">
            <w:pPr>
              <w:pStyle w:val="SBEnormal"/>
              <w:numPr>
                <w:ilvl w:val="0"/>
                <w:numId w:val="29"/>
              </w:numPr>
              <w:tabs>
                <w:tab w:val="clear" w:pos="720"/>
                <w:tab w:val="num" w:pos="423"/>
              </w:tabs>
              <w:spacing w:after="80"/>
              <w:ind w:left="432" w:hanging="274"/>
              <w:rPr>
                <w:rFonts w:ascii="Segoe UI Historic" w:hAnsi="Segoe UI Historic" w:cs="Segoe UI Historic"/>
              </w:rPr>
            </w:pPr>
            <w:r w:rsidRPr="00D50C07">
              <w:rPr>
                <w:rFonts w:ascii="Segoe UI Historic" w:hAnsi="Segoe UI Historic" w:cs="Segoe UI Historic"/>
              </w:rPr>
              <w:t>Make sense of problems and persevere in solving them. </w:t>
            </w:r>
          </w:p>
          <w:p w14:paraId="370F9CB8" w14:textId="77777777" w:rsidR="00D50C07" w:rsidRPr="00D50C07" w:rsidRDefault="00D50C07" w:rsidP="00D50C07">
            <w:pPr>
              <w:pStyle w:val="SBEnormal"/>
              <w:numPr>
                <w:ilvl w:val="0"/>
                <w:numId w:val="29"/>
              </w:numPr>
              <w:tabs>
                <w:tab w:val="clear" w:pos="720"/>
                <w:tab w:val="num" w:pos="423"/>
              </w:tabs>
              <w:spacing w:after="80"/>
              <w:ind w:left="432" w:hanging="274"/>
              <w:rPr>
                <w:rFonts w:ascii="Segoe UI Historic" w:hAnsi="Segoe UI Historic" w:cs="Segoe UI Historic"/>
              </w:rPr>
            </w:pPr>
            <w:r w:rsidRPr="00D50C07">
              <w:rPr>
                <w:rFonts w:ascii="Segoe UI Historic" w:hAnsi="Segoe UI Historic" w:cs="Segoe UI Historic"/>
              </w:rPr>
              <w:t>Reason abstractly and quantitatively. </w:t>
            </w:r>
          </w:p>
          <w:p w14:paraId="6CFC2126" w14:textId="77777777" w:rsidR="00D50C07" w:rsidRPr="00D50C07" w:rsidRDefault="00D50C07" w:rsidP="00D50C07">
            <w:pPr>
              <w:pStyle w:val="SBEnormal"/>
              <w:numPr>
                <w:ilvl w:val="0"/>
                <w:numId w:val="29"/>
              </w:numPr>
              <w:tabs>
                <w:tab w:val="clear" w:pos="720"/>
                <w:tab w:val="num" w:pos="423"/>
              </w:tabs>
              <w:spacing w:after="80"/>
              <w:ind w:left="432" w:hanging="274"/>
              <w:rPr>
                <w:rFonts w:ascii="Segoe UI Historic" w:hAnsi="Segoe UI Historic" w:cs="Segoe UI Historic"/>
              </w:rPr>
            </w:pPr>
            <w:r w:rsidRPr="00D50C07">
              <w:rPr>
                <w:rFonts w:ascii="Segoe UI Historic" w:hAnsi="Segoe UI Historic" w:cs="Segoe UI Historic"/>
              </w:rPr>
              <w:t>Construct viable arguments and critique the reasoning of others.</w:t>
            </w:r>
          </w:p>
          <w:p w14:paraId="1F9094A2" w14:textId="77777777" w:rsidR="00D50C07" w:rsidRPr="00D50C07" w:rsidRDefault="00D50C07" w:rsidP="00D50C07">
            <w:pPr>
              <w:pStyle w:val="SBEnormal"/>
              <w:numPr>
                <w:ilvl w:val="0"/>
                <w:numId w:val="29"/>
              </w:numPr>
              <w:tabs>
                <w:tab w:val="clear" w:pos="720"/>
                <w:tab w:val="num" w:pos="423"/>
              </w:tabs>
              <w:spacing w:after="80"/>
              <w:ind w:left="432" w:hanging="274"/>
              <w:rPr>
                <w:rFonts w:ascii="Segoe UI Historic" w:hAnsi="Segoe UI Historic" w:cs="Segoe UI Historic"/>
              </w:rPr>
            </w:pPr>
            <w:r w:rsidRPr="00D50C07">
              <w:rPr>
                <w:rFonts w:ascii="Segoe UI Historic" w:hAnsi="Segoe UI Historic" w:cs="Segoe UI Historic"/>
              </w:rPr>
              <w:t>Model with mathematics. </w:t>
            </w:r>
          </w:p>
          <w:p w14:paraId="08A2DF00" w14:textId="77777777" w:rsidR="00D50C07" w:rsidRPr="00D50C07" w:rsidRDefault="00D50C07" w:rsidP="00D50C07">
            <w:pPr>
              <w:pStyle w:val="SBEnormal"/>
              <w:numPr>
                <w:ilvl w:val="0"/>
                <w:numId w:val="29"/>
              </w:numPr>
              <w:tabs>
                <w:tab w:val="clear" w:pos="720"/>
                <w:tab w:val="num" w:pos="423"/>
              </w:tabs>
              <w:spacing w:after="80"/>
              <w:ind w:left="432" w:hanging="274"/>
              <w:rPr>
                <w:rFonts w:ascii="Segoe UI Historic" w:hAnsi="Segoe UI Historic" w:cs="Segoe UI Historic"/>
              </w:rPr>
            </w:pPr>
            <w:r w:rsidRPr="00D50C07">
              <w:rPr>
                <w:rFonts w:ascii="Segoe UI Historic" w:hAnsi="Segoe UI Historic" w:cs="Segoe UI Historic"/>
              </w:rPr>
              <w:t>Use appropriate tools strategically.</w:t>
            </w:r>
          </w:p>
          <w:p w14:paraId="6B51B5CD" w14:textId="77777777" w:rsidR="00D50C07" w:rsidRPr="00D50C07" w:rsidRDefault="00D50C07" w:rsidP="00D50C07">
            <w:pPr>
              <w:pStyle w:val="SBEnormal"/>
              <w:numPr>
                <w:ilvl w:val="0"/>
                <w:numId w:val="29"/>
              </w:numPr>
              <w:tabs>
                <w:tab w:val="clear" w:pos="720"/>
                <w:tab w:val="num" w:pos="423"/>
              </w:tabs>
              <w:spacing w:after="80"/>
              <w:ind w:left="432" w:hanging="274"/>
              <w:rPr>
                <w:rFonts w:ascii="Segoe UI Historic" w:hAnsi="Segoe UI Historic" w:cs="Segoe UI Historic"/>
              </w:rPr>
            </w:pPr>
            <w:r w:rsidRPr="00D50C07">
              <w:rPr>
                <w:rFonts w:ascii="Segoe UI Historic" w:hAnsi="Segoe UI Historic" w:cs="Segoe UI Historic"/>
              </w:rPr>
              <w:lastRenderedPageBreak/>
              <w:t>Attend to precision. </w:t>
            </w:r>
          </w:p>
          <w:p w14:paraId="146A28AC" w14:textId="77777777" w:rsidR="0040795A" w:rsidRDefault="00D50C07" w:rsidP="0040795A">
            <w:pPr>
              <w:pStyle w:val="SBEnormal"/>
              <w:numPr>
                <w:ilvl w:val="0"/>
                <w:numId w:val="29"/>
              </w:numPr>
              <w:tabs>
                <w:tab w:val="clear" w:pos="720"/>
                <w:tab w:val="num" w:pos="423"/>
              </w:tabs>
              <w:spacing w:after="80"/>
              <w:ind w:left="432" w:hanging="274"/>
              <w:rPr>
                <w:rFonts w:ascii="Segoe UI Historic" w:hAnsi="Segoe UI Historic" w:cs="Segoe UI Historic"/>
              </w:rPr>
            </w:pPr>
            <w:r w:rsidRPr="00D50C07">
              <w:rPr>
                <w:rFonts w:ascii="Segoe UI Historic" w:hAnsi="Segoe UI Historic" w:cs="Segoe UI Historic"/>
              </w:rPr>
              <w:t>Look for and make use of structure.</w:t>
            </w:r>
          </w:p>
          <w:p w14:paraId="55F1E020" w14:textId="0D30639D" w:rsidR="00D50C07" w:rsidRPr="0040795A" w:rsidRDefault="00D50C07" w:rsidP="0040795A">
            <w:pPr>
              <w:pStyle w:val="SBEnormal"/>
              <w:numPr>
                <w:ilvl w:val="0"/>
                <w:numId w:val="29"/>
              </w:numPr>
              <w:tabs>
                <w:tab w:val="clear" w:pos="720"/>
                <w:tab w:val="num" w:pos="423"/>
              </w:tabs>
              <w:spacing w:after="80"/>
              <w:ind w:left="432" w:hanging="274"/>
              <w:rPr>
                <w:rFonts w:ascii="Segoe UI Historic" w:hAnsi="Segoe UI Historic" w:cs="Segoe UI Historic"/>
              </w:rPr>
            </w:pPr>
            <w:r w:rsidRPr="0040795A">
              <w:rPr>
                <w:rFonts w:ascii="Segoe UI Historic" w:hAnsi="Segoe UI Historic" w:cs="Segoe UI Historic"/>
              </w:rPr>
              <w:t>Look for and express regularity in repeated reasoning.</w:t>
            </w:r>
          </w:p>
        </w:tc>
        <w:tc>
          <w:tcPr>
            <w:tcW w:w="4320" w:type="dxa"/>
            <w:tcBorders>
              <w:top w:val="single" w:sz="8" w:space="0" w:color="FFFFFF" w:themeColor="background1"/>
            </w:tcBorders>
          </w:tcPr>
          <w:p w14:paraId="3B301640" w14:textId="590356AF" w:rsidR="00D50C07" w:rsidRPr="00D50C07" w:rsidRDefault="00D50C07" w:rsidP="00CA38DB">
            <w:pPr>
              <w:pStyle w:val="SBEnormal"/>
              <w:spacing w:after="240"/>
              <w:rPr>
                <w:rFonts w:ascii="Segoe UI Historic" w:hAnsi="Segoe UI Historic" w:cs="Segoe UI Historic"/>
              </w:rPr>
            </w:pPr>
            <w:r w:rsidRPr="00D50C07">
              <w:rPr>
                <w:rFonts w:ascii="Segoe UI Historic" w:hAnsi="Segoe UI Historic" w:cs="Segoe UI Historic"/>
              </w:rPr>
              <w:lastRenderedPageBreak/>
              <w:t>Educators should support the design of projects that allow students to produce evidence of meeting all eight of the mathematical practices, however, if that isn’t authentically possible, students must produce evidence for the majority of them (5+).</w:t>
            </w:r>
          </w:p>
        </w:tc>
      </w:tr>
    </w:tbl>
    <w:p w14:paraId="09470504" w14:textId="0A20F803" w:rsidR="00970B79" w:rsidRPr="00CA38DB" w:rsidRDefault="00D064B2" w:rsidP="00CA38DB">
      <w:pPr>
        <w:pStyle w:val="SBEnormal"/>
        <w:spacing w:after="240"/>
        <w:rPr>
          <w:rFonts w:ascii="Segoe UI Historic" w:eastAsiaTheme="majorEastAsia" w:hAnsi="Segoe UI Historic" w:cs="Segoe UI Historic"/>
        </w:rPr>
      </w:pPr>
      <w:hyperlink r:id="rId12" w:history="1"/>
    </w:p>
    <w:p w14:paraId="5C75CE8E" w14:textId="0503622E" w:rsidR="00970B79" w:rsidRDefault="00701FF0" w:rsidP="00AC39B1">
      <w:pPr>
        <w:pStyle w:val="SBEhyperlink"/>
        <w:rPr>
          <w:rFonts w:ascii="Segoe UI Historic" w:eastAsiaTheme="majorEastAsia" w:hAnsi="Segoe UI Historic" w:cs="Segoe UI Historic"/>
        </w:rPr>
      </w:pPr>
      <w:r w:rsidRPr="00833299">
        <w:rPr>
          <w:rFonts w:ascii="Segoe UI" w:eastAsiaTheme="majorEastAsia" w:hAnsi="Segoe UI" w:cs="Segoe UI"/>
          <w:color w:val="000000" w:themeColor="text1"/>
        </w:rPr>
        <w:t>In order to complete the Mathematics Performance-Based Graduation Pathway, students should select and/or design cohesive and coherent learning experiences that provide them the opportunity to carry out activities and solve problems in a way that reflects the complex nature of such tasks in the world outside of the classroom. The learning experiences must be designed to enable students to provide evidence of meeting at least two high-school level math standards in each of at least two conceptual categories - meaning they will produce evidence for a minimum of four standards (Figure 2). Note that these are individual standards (not a whole cluster). The student's</w:t>
      </w:r>
      <w:r w:rsidRPr="00701FF0">
        <w:rPr>
          <w:rFonts w:ascii="Segoe UI Historic" w:eastAsiaTheme="majorEastAsia" w:hAnsi="Segoe UI Historic" w:cs="Segoe UI Historic"/>
        </w:rPr>
        <w:t xml:space="preserve"> evidence</w:t>
      </w:r>
      <w:r>
        <w:rPr>
          <w:rFonts w:ascii="Segoe UI Historic" w:eastAsiaTheme="majorEastAsia" w:hAnsi="Segoe UI Historic" w:cs="Segoe UI Historic"/>
        </w:rPr>
        <w:t xml:space="preserve"> </w:t>
      </w:r>
      <w:r w:rsidRPr="00701FF0">
        <w:rPr>
          <w:rFonts w:ascii="Segoe UI Historic" w:eastAsiaTheme="majorEastAsia" w:hAnsi="Segoe UI Historic" w:cs="Segoe UI Historic"/>
        </w:rPr>
        <w:t xml:space="preserve">for the math standards will be assessed using local scoring criteria, while evidence of meeting the mathematical practices will be assessed using the Performance-Based Graduation Pathway </w:t>
      </w:r>
      <w:hyperlink r:id="rId13" w:history="1">
        <w:r w:rsidRPr="00701FF0">
          <w:rPr>
            <w:rStyle w:val="Hyperlink"/>
            <w:rFonts w:ascii="Segoe UI Historic" w:eastAsiaTheme="majorEastAsia" w:hAnsi="Segoe UI Historic" w:cs="Segoe UI Historic"/>
          </w:rPr>
          <w:t>statewide rubric</w:t>
        </w:r>
      </w:hyperlink>
      <w:r w:rsidRPr="00701FF0">
        <w:rPr>
          <w:rFonts w:ascii="Segoe UI Historic" w:eastAsiaTheme="majorEastAsia" w:hAnsi="Segoe UI Historic" w:cs="Segoe UI Historic"/>
        </w:rPr>
        <w:t>.</w:t>
      </w:r>
    </w:p>
    <w:p w14:paraId="7D865415" w14:textId="77777777" w:rsidR="00AB0B92" w:rsidRDefault="00AB0B92" w:rsidP="00AC39B1">
      <w:pPr>
        <w:pStyle w:val="SBEhyperlink"/>
        <w:rPr>
          <w:rFonts w:ascii="Segoe UI Historic" w:eastAsiaTheme="majorEastAsia" w:hAnsi="Segoe UI Historic" w:cs="Segoe UI Historic"/>
        </w:rPr>
      </w:pPr>
    </w:p>
    <w:tbl>
      <w:tblPr>
        <w:tblStyle w:val="TableGrid"/>
        <w:tblW w:w="0" w:type="auto"/>
        <w:tblLook w:val="04A0" w:firstRow="1" w:lastRow="0" w:firstColumn="1" w:lastColumn="0" w:noHBand="0" w:noVBand="1"/>
      </w:tblPr>
      <w:tblGrid>
        <w:gridCol w:w="4585"/>
        <w:gridCol w:w="5400"/>
      </w:tblGrid>
      <w:tr w:rsidR="00AB0B92" w14:paraId="5FC34BF0" w14:textId="77777777" w:rsidTr="00D064B2">
        <w:trPr>
          <w:trHeight w:val="512"/>
        </w:trPr>
        <w:tc>
          <w:tcPr>
            <w:tcW w:w="9985" w:type="dxa"/>
            <w:gridSpan w:val="2"/>
            <w:shd w:val="clear" w:color="auto" w:fill="auto"/>
            <w:vAlign w:val="center"/>
          </w:tcPr>
          <w:p w14:paraId="6BDB867D" w14:textId="0EB2E0FE" w:rsidR="00AB0B92" w:rsidRPr="00D064B2" w:rsidRDefault="00AB0B92" w:rsidP="004D7C74">
            <w:pPr>
              <w:pStyle w:val="SBEnormal"/>
              <w:rPr>
                <w:b/>
                <w:bCs/>
                <w:color w:val="000000" w:themeColor="text1"/>
              </w:rPr>
            </w:pPr>
            <w:r w:rsidRPr="00D064B2">
              <w:rPr>
                <w:rFonts w:ascii="Segoe UI" w:eastAsiaTheme="majorEastAsia" w:hAnsi="Segoe UI" w:cs="Segoe UI"/>
                <w:b/>
                <w:bCs/>
                <w:color w:val="000000" w:themeColor="text1"/>
              </w:rPr>
              <w:t>Figure 2.  Guidance on selection of standards from conceptual categories</w:t>
            </w:r>
          </w:p>
        </w:tc>
      </w:tr>
      <w:tr w:rsidR="00AB0B92" w14:paraId="1C224D44" w14:textId="77777777" w:rsidTr="00D064B2">
        <w:tc>
          <w:tcPr>
            <w:tcW w:w="4585" w:type="dxa"/>
            <w:tcBorders>
              <w:right w:val="single" w:sz="4" w:space="0" w:color="000000" w:themeColor="text1"/>
            </w:tcBorders>
            <w:shd w:val="clear" w:color="auto" w:fill="auto"/>
            <w:vAlign w:val="center"/>
          </w:tcPr>
          <w:p w14:paraId="624530FE" w14:textId="026EEC22" w:rsidR="00AB0B92" w:rsidRPr="00D064B2" w:rsidRDefault="00AB0B92" w:rsidP="004D7C74">
            <w:pPr>
              <w:pStyle w:val="SBEnormal"/>
              <w:rPr>
                <w:b/>
                <w:bCs/>
                <w:color w:val="000000" w:themeColor="text1"/>
              </w:rPr>
            </w:pPr>
            <w:r w:rsidRPr="00D064B2">
              <w:rPr>
                <w:rFonts w:ascii="Segoe UI Historic" w:hAnsi="Segoe UI Historic" w:cs="Segoe UI Historic"/>
                <w:b/>
                <w:bCs/>
                <w:color w:val="000000" w:themeColor="text1"/>
              </w:rPr>
              <w:t>Conceptual Categories</w:t>
            </w:r>
            <w:r w:rsidRPr="00D064B2">
              <w:rPr>
                <w:rStyle w:val="FootnoteReference"/>
                <w:rFonts w:ascii="Segoe UI Historic" w:hAnsi="Segoe UI Historic" w:cs="Segoe UI Historic"/>
                <w:b/>
                <w:bCs/>
                <w:color w:val="000000" w:themeColor="text1"/>
              </w:rPr>
              <w:footnoteReference w:id="3"/>
            </w:r>
          </w:p>
        </w:tc>
        <w:tc>
          <w:tcPr>
            <w:tcW w:w="5400" w:type="dxa"/>
            <w:tcBorders>
              <w:left w:val="single" w:sz="4" w:space="0" w:color="000000" w:themeColor="text1"/>
            </w:tcBorders>
            <w:shd w:val="clear" w:color="auto" w:fill="auto"/>
            <w:vAlign w:val="center"/>
          </w:tcPr>
          <w:p w14:paraId="13757551" w14:textId="77777777" w:rsidR="00AB0B92" w:rsidRPr="00D064B2" w:rsidRDefault="00AB0B92" w:rsidP="004D7C74">
            <w:pPr>
              <w:pStyle w:val="SBEnormal"/>
              <w:rPr>
                <w:rFonts w:ascii="Segoe UI Historic" w:hAnsi="Segoe UI Historic" w:cs="Segoe UI Historic"/>
                <w:b/>
                <w:bCs/>
                <w:color w:val="000000" w:themeColor="text1"/>
              </w:rPr>
            </w:pPr>
            <w:r w:rsidRPr="00D064B2">
              <w:rPr>
                <w:rFonts w:ascii="Segoe UI Historic" w:hAnsi="Segoe UI Historic" w:cs="Segoe UI Historic"/>
                <w:b/>
                <w:bCs/>
                <w:color w:val="000000" w:themeColor="text1"/>
              </w:rPr>
              <w:t>Guidance</w:t>
            </w:r>
          </w:p>
        </w:tc>
      </w:tr>
      <w:tr w:rsidR="00AB0B92" w14:paraId="5EE5EBA2" w14:textId="77777777" w:rsidTr="00AB0B92">
        <w:tc>
          <w:tcPr>
            <w:tcW w:w="4585" w:type="dxa"/>
          </w:tcPr>
          <w:p w14:paraId="73F63B5F" w14:textId="77777777" w:rsidR="00AB0B92" w:rsidRPr="00AB0B92" w:rsidRDefault="00AB0B92" w:rsidP="00AB0B92">
            <w:pPr>
              <w:pStyle w:val="SBEnormal"/>
              <w:numPr>
                <w:ilvl w:val="0"/>
                <w:numId w:val="30"/>
              </w:numPr>
              <w:tabs>
                <w:tab w:val="clear" w:pos="720"/>
              </w:tabs>
              <w:spacing w:before="40" w:after="80"/>
              <w:ind w:left="432" w:hanging="274"/>
              <w:rPr>
                <w:rFonts w:ascii="Segoe UI Historic" w:hAnsi="Segoe UI Historic" w:cs="Segoe UI Historic"/>
              </w:rPr>
            </w:pPr>
            <w:r w:rsidRPr="00AB0B92">
              <w:rPr>
                <w:rFonts w:ascii="Segoe UI Historic" w:hAnsi="Segoe UI Historic" w:cs="Segoe UI Historic"/>
              </w:rPr>
              <w:t>Number and Quantity</w:t>
            </w:r>
          </w:p>
          <w:p w14:paraId="4850929D" w14:textId="77777777" w:rsidR="00AB0B92" w:rsidRPr="00AB0B92" w:rsidRDefault="00AB0B92" w:rsidP="00AB0B92">
            <w:pPr>
              <w:pStyle w:val="SBEnormal"/>
              <w:numPr>
                <w:ilvl w:val="0"/>
                <w:numId w:val="30"/>
              </w:numPr>
              <w:tabs>
                <w:tab w:val="clear" w:pos="720"/>
              </w:tabs>
              <w:spacing w:after="80"/>
              <w:ind w:left="423" w:hanging="270"/>
              <w:rPr>
                <w:rFonts w:ascii="Segoe UI Historic" w:hAnsi="Segoe UI Historic" w:cs="Segoe UI Historic"/>
              </w:rPr>
            </w:pPr>
            <w:r w:rsidRPr="00AB0B92">
              <w:rPr>
                <w:rFonts w:ascii="Segoe UI Historic" w:hAnsi="Segoe UI Historic" w:cs="Segoe UI Historic"/>
              </w:rPr>
              <w:t>Algebra</w:t>
            </w:r>
          </w:p>
          <w:p w14:paraId="5615687A" w14:textId="77777777" w:rsidR="00AB0B92" w:rsidRPr="00AB0B92" w:rsidRDefault="00AB0B92" w:rsidP="00AB0B92">
            <w:pPr>
              <w:pStyle w:val="SBEnormal"/>
              <w:numPr>
                <w:ilvl w:val="0"/>
                <w:numId w:val="30"/>
              </w:numPr>
              <w:tabs>
                <w:tab w:val="clear" w:pos="720"/>
              </w:tabs>
              <w:spacing w:after="80"/>
              <w:ind w:left="423" w:hanging="270"/>
              <w:rPr>
                <w:rFonts w:ascii="Segoe UI Historic" w:hAnsi="Segoe UI Historic" w:cs="Segoe UI Historic"/>
              </w:rPr>
            </w:pPr>
            <w:r w:rsidRPr="00AB0B92">
              <w:rPr>
                <w:rFonts w:ascii="Segoe UI Historic" w:hAnsi="Segoe UI Historic" w:cs="Segoe UI Historic"/>
              </w:rPr>
              <w:t>Functions</w:t>
            </w:r>
          </w:p>
          <w:p w14:paraId="0E55E930" w14:textId="77777777" w:rsidR="00AB0B92" w:rsidRPr="00AB0B92" w:rsidRDefault="00AB0B92" w:rsidP="00AB0B92">
            <w:pPr>
              <w:pStyle w:val="SBEnormal"/>
              <w:numPr>
                <w:ilvl w:val="0"/>
                <w:numId w:val="30"/>
              </w:numPr>
              <w:tabs>
                <w:tab w:val="clear" w:pos="720"/>
              </w:tabs>
              <w:spacing w:after="80"/>
              <w:ind w:left="423" w:hanging="270"/>
              <w:rPr>
                <w:rFonts w:ascii="Segoe UI Historic" w:hAnsi="Segoe UI Historic" w:cs="Segoe UI Historic"/>
              </w:rPr>
            </w:pPr>
            <w:r w:rsidRPr="00AB0B92">
              <w:rPr>
                <w:rFonts w:ascii="Segoe UI Historic" w:hAnsi="Segoe UI Historic" w:cs="Segoe UI Historic"/>
              </w:rPr>
              <w:t>Geometry</w:t>
            </w:r>
          </w:p>
          <w:p w14:paraId="66FCC050" w14:textId="54A835A7" w:rsidR="00AB0B92" w:rsidRPr="00AB0B92" w:rsidRDefault="00AB0B92" w:rsidP="00AB0B92">
            <w:pPr>
              <w:pStyle w:val="SBEnormal"/>
              <w:numPr>
                <w:ilvl w:val="0"/>
                <w:numId w:val="30"/>
              </w:numPr>
              <w:tabs>
                <w:tab w:val="clear" w:pos="720"/>
              </w:tabs>
              <w:spacing w:after="80"/>
              <w:ind w:left="423" w:hanging="270"/>
              <w:rPr>
                <w:rFonts w:ascii="Segoe UI Historic" w:hAnsi="Segoe UI Historic" w:cs="Segoe UI Historic"/>
              </w:rPr>
            </w:pPr>
            <w:r w:rsidRPr="00AB0B92">
              <w:rPr>
                <w:rFonts w:ascii="Segoe UI Historic" w:hAnsi="Segoe UI Historic" w:cs="Segoe UI Historic"/>
              </w:rPr>
              <w:t>Statistics and Probability</w:t>
            </w:r>
          </w:p>
        </w:tc>
        <w:tc>
          <w:tcPr>
            <w:tcW w:w="5400" w:type="dxa"/>
          </w:tcPr>
          <w:p w14:paraId="1EBE0C81" w14:textId="77777777" w:rsidR="00AB0B92" w:rsidRPr="00AB0B92" w:rsidRDefault="00AB0B92" w:rsidP="00AB0B92">
            <w:pPr>
              <w:pStyle w:val="SBEnormal"/>
              <w:numPr>
                <w:ilvl w:val="0"/>
                <w:numId w:val="32"/>
              </w:numPr>
              <w:spacing w:before="40" w:after="80"/>
              <w:rPr>
                <w:rFonts w:ascii="Segoe UI Historic" w:hAnsi="Segoe UI Historic" w:cs="Segoe UI Historic"/>
              </w:rPr>
            </w:pPr>
            <w:r w:rsidRPr="00AB0B92">
              <w:rPr>
                <w:rFonts w:ascii="Segoe UI Historic" w:hAnsi="Segoe UI Historic" w:cs="Segoe UI Historic"/>
              </w:rPr>
              <w:t>Modeling of the standards is inherent. </w:t>
            </w:r>
          </w:p>
          <w:p w14:paraId="096ABD1E" w14:textId="7E5D12E3" w:rsidR="00AB0B92" w:rsidRPr="00AB0B92" w:rsidRDefault="00AB0B92" w:rsidP="004D7C74">
            <w:pPr>
              <w:pStyle w:val="SBEnormal"/>
              <w:numPr>
                <w:ilvl w:val="0"/>
                <w:numId w:val="32"/>
              </w:numPr>
              <w:spacing w:after="240"/>
              <w:rPr>
                <w:rFonts w:ascii="Segoe UI Historic" w:hAnsi="Segoe UI Historic" w:cs="Segoe UI Historic"/>
              </w:rPr>
            </w:pPr>
            <w:r w:rsidRPr="00AB0B92">
              <w:rPr>
                <w:rFonts w:ascii="Segoe UI Historic" w:hAnsi="Segoe UI Historic" w:cs="Segoe UI Historic"/>
              </w:rPr>
              <w:t>Where authentically possible, educators should support the design of projects that elicit a balance of evidence of procedural knowledge and conceptual understanding.</w:t>
            </w:r>
          </w:p>
        </w:tc>
      </w:tr>
    </w:tbl>
    <w:p w14:paraId="487B21A4" w14:textId="6D696A00" w:rsidR="00701FF0" w:rsidRDefault="00AB0B92" w:rsidP="00701FF0">
      <w:pPr>
        <w:spacing w:after="280"/>
        <w:rPr>
          <w:rFonts w:ascii="Segoe UI" w:eastAsiaTheme="majorEastAsia" w:hAnsi="Segoe UI" w:cs="Segoe UI"/>
          <w:color w:val="000000" w:themeColor="text1"/>
        </w:rPr>
      </w:pPr>
      <w:r>
        <w:rPr>
          <w:rFonts w:ascii="Segoe UI" w:eastAsiaTheme="majorEastAsia" w:hAnsi="Segoe UI" w:cs="Segoe UI"/>
          <w:color w:val="000000" w:themeColor="text1"/>
        </w:rPr>
        <w:br/>
      </w:r>
      <w:r w:rsidR="00701FF0" w:rsidRPr="00701FF0">
        <w:rPr>
          <w:rFonts w:ascii="Segoe UI" w:eastAsiaTheme="majorEastAsia" w:hAnsi="Segoe UI" w:cs="Segoe UI"/>
          <w:color w:val="000000" w:themeColor="text1"/>
        </w:rPr>
        <w:t>Students and educators should be able to work together to identify these high-school level standards without restriction, while still ensuring that they will be able to produce evidence of meeting ideally eight (8), but no less than five (5), mathematics practices in order to complete the performance-based graduation pathway (Figure 3).</w:t>
      </w:r>
      <w:r w:rsidR="00701FF0">
        <w:rPr>
          <w:rFonts w:ascii="Segoe UI" w:eastAsiaTheme="majorEastAsia" w:hAnsi="Segoe UI" w:cs="Segoe UI"/>
          <w:color w:val="000000" w:themeColor="text1"/>
        </w:rPr>
        <w:t xml:space="preserve"> </w:t>
      </w:r>
      <w:r w:rsidR="00A5309A">
        <w:rPr>
          <w:rFonts w:ascii="Segoe UI" w:eastAsiaTheme="majorEastAsia" w:hAnsi="Segoe UI" w:cs="Segoe UI"/>
          <w:color w:val="000000" w:themeColor="text1"/>
        </w:rPr>
        <w:br/>
      </w:r>
      <w:r w:rsidR="00A5309A">
        <w:rPr>
          <w:rFonts w:ascii="Segoe UI" w:eastAsiaTheme="majorEastAsia" w:hAnsi="Segoe UI" w:cs="Segoe UI"/>
          <w:color w:val="000000" w:themeColor="text1"/>
        </w:rPr>
        <w:br/>
      </w:r>
    </w:p>
    <w:tbl>
      <w:tblPr>
        <w:tblStyle w:val="TableGrid"/>
        <w:tblW w:w="0" w:type="auto"/>
        <w:tblLook w:val="04A0" w:firstRow="1" w:lastRow="0" w:firstColumn="1" w:lastColumn="0" w:noHBand="0" w:noVBand="1"/>
      </w:tblPr>
      <w:tblGrid>
        <w:gridCol w:w="3685"/>
        <w:gridCol w:w="810"/>
        <w:gridCol w:w="2675"/>
        <w:gridCol w:w="764"/>
        <w:gridCol w:w="2136"/>
      </w:tblGrid>
      <w:tr w:rsidR="00AB0B92" w14:paraId="01E9CAE3" w14:textId="77777777" w:rsidTr="00D064B2">
        <w:trPr>
          <w:trHeight w:val="512"/>
        </w:trPr>
        <w:tc>
          <w:tcPr>
            <w:tcW w:w="10070" w:type="dxa"/>
            <w:gridSpan w:val="5"/>
            <w:shd w:val="clear" w:color="auto" w:fill="auto"/>
            <w:vAlign w:val="center"/>
          </w:tcPr>
          <w:p w14:paraId="17F089F9" w14:textId="38C193DC" w:rsidR="00AB0B92" w:rsidRPr="00D50C07" w:rsidRDefault="00AB0B92" w:rsidP="004D7C74">
            <w:pPr>
              <w:pStyle w:val="SBEnormal"/>
              <w:rPr>
                <w:b/>
                <w:bCs/>
              </w:rPr>
            </w:pPr>
            <w:r w:rsidRPr="00D064B2">
              <w:rPr>
                <w:rFonts w:ascii="Segoe UI" w:eastAsiaTheme="majorEastAsia" w:hAnsi="Segoe UI" w:cs="Segoe UI"/>
                <w:b/>
                <w:bCs/>
                <w:color w:val="000000" w:themeColor="text1"/>
              </w:rPr>
              <w:lastRenderedPageBreak/>
              <w:t>Figure 3.  Evidence Requirements</w:t>
            </w:r>
          </w:p>
        </w:tc>
      </w:tr>
      <w:tr w:rsidR="00AB0B92" w14:paraId="35BEE90F" w14:textId="77777777" w:rsidTr="00BD3691">
        <w:tc>
          <w:tcPr>
            <w:tcW w:w="3685" w:type="dxa"/>
          </w:tcPr>
          <w:p w14:paraId="20205477" w14:textId="77777777" w:rsidR="00AB0B92" w:rsidRPr="00AB0B92" w:rsidRDefault="00AB0B92" w:rsidP="00AB0B92">
            <w:pPr>
              <w:pStyle w:val="SBEnormal"/>
              <w:spacing w:after="80"/>
              <w:rPr>
                <w:rFonts w:ascii="Segoe UI Historic" w:hAnsi="Segoe UI Historic" w:cs="Segoe UI Historic"/>
              </w:rPr>
            </w:pPr>
            <w:r w:rsidRPr="00AB0B92">
              <w:rPr>
                <w:rFonts w:ascii="Segoe UI Historic" w:hAnsi="Segoe UI Historic" w:cs="Segoe UI Historic"/>
              </w:rPr>
              <w:t>At least two high-school level math standards in each of at least two conceptual categories</w:t>
            </w:r>
          </w:p>
          <w:p w14:paraId="13551148" w14:textId="77777777" w:rsidR="00AB0B92" w:rsidRPr="00AB0B92" w:rsidRDefault="00AB0B92" w:rsidP="00AB0B92">
            <w:pPr>
              <w:pStyle w:val="SBEnormal"/>
              <w:spacing w:after="80"/>
              <w:rPr>
                <w:rFonts w:ascii="Segoe UI Historic" w:hAnsi="Segoe UI Historic" w:cs="Segoe UI Historic"/>
                <w:sz w:val="22"/>
                <w:szCs w:val="22"/>
              </w:rPr>
            </w:pPr>
            <w:r w:rsidRPr="00AB0B92">
              <w:rPr>
                <w:rFonts w:ascii="Segoe UI Historic" w:hAnsi="Segoe UI Historic" w:cs="Segoe UI Historic"/>
                <w:i/>
                <w:iCs/>
                <w:sz w:val="22"/>
                <w:szCs w:val="22"/>
              </w:rPr>
              <w:t>(selected and scored using local criteria)</w:t>
            </w:r>
          </w:p>
          <w:p w14:paraId="4184A589" w14:textId="77777777" w:rsidR="00AB0B92" w:rsidRPr="00AB0B92" w:rsidRDefault="00AB0B92" w:rsidP="00AB0B92">
            <w:pPr>
              <w:pStyle w:val="SBEnormal"/>
              <w:spacing w:after="80"/>
              <w:rPr>
                <w:rFonts w:ascii="Segoe UI Historic" w:hAnsi="Segoe UI Historic" w:cs="Segoe UI Historic"/>
                <w:sz w:val="22"/>
                <w:szCs w:val="22"/>
              </w:rPr>
            </w:pPr>
            <w:r w:rsidRPr="00AB0B92">
              <w:rPr>
                <w:rFonts w:ascii="Segoe UI Historic" w:hAnsi="Segoe UI Historic" w:cs="Segoe UI Historic"/>
                <w:i/>
                <w:iCs/>
                <w:sz w:val="22"/>
                <w:szCs w:val="22"/>
              </w:rPr>
              <w:t>*Not the whole cluster of standards.</w:t>
            </w:r>
          </w:p>
          <w:p w14:paraId="1FDF19BD" w14:textId="10E81075" w:rsidR="00AB0B92" w:rsidRPr="00AB0B92" w:rsidRDefault="00AB0B92" w:rsidP="00AB0B92">
            <w:pPr>
              <w:pStyle w:val="SBEnormal"/>
              <w:spacing w:after="80"/>
              <w:rPr>
                <w:rFonts w:ascii="Segoe UI Historic" w:hAnsi="Segoe UI Historic" w:cs="Segoe UI Historic"/>
              </w:rPr>
            </w:pPr>
            <w:r w:rsidRPr="00AB0B92">
              <w:rPr>
                <w:rFonts w:ascii="Segoe UI Historic" w:hAnsi="Segoe UI Historic" w:cs="Segoe UI Historic"/>
                <w:i/>
                <w:iCs/>
                <w:sz w:val="22"/>
                <w:szCs w:val="22"/>
              </w:rPr>
              <w:t>*Evidence is needed for 4+ standards.</w:t>
            </w:r>
          </w:p>
        </w:tc>
        <w:tc>
          <w:tcPr>
            <w:tcW w:w="810" w:type="dxa"/>
          </w:tcPr>
          <w:p w14:paraId="2392813A" w14:textId="077E24C9" w:rsidR="00AB0B92" w:rsidRPr="00AB0B92" w:rsidRDefault="00AB0B92" w:rsidP="00AB0B92">
            <w:pPr>
              <w:pStyle w:val="SBEnormal"/>
              <w:spacing w:after="240"/>
              <w:jc w:val="center"/>
              <w:rPr>
                <w:rFonts w:ascii="Segoe UI Historic" w:hAnsi="Segoe UI Historic" w:cs="Segoe UI Historic"/>
                <w:sz w:val="80"/>
                <w:szCs w:val="80"/>
              </w:rPr>
            </w:pPr>
            <w:r w:rsidRPr="00AB0B92">
              <w:rPr>
                <w:rFonts w:ascii="Segoe UI Historic" w:hAnsi="Segoe UI Historic" w:cs="Segoe UI Historic"/>
                <w:sz w:val="80"/>
                <w:szCs w:val="80"/>
              </w:rPr>
              <w:t>+</w:t>
            </w:r>
          </w:p>
        </w:tc>
        <w:tc>
          <w:tcPr>
            <w:tcW w:w="2675" w:type="dxa"/>
          </w:tcPr>
          <w:p w14:paraId="68E4008B" w14:textId="522E9318" w:rsidR="00AB0B92" w:rsidRPr="00AB0B92" w:rsidRDefault="00AB0B92" w:rsidP="00AB0B92">
            <w:pPr>
              <w:pStyle w:val="SBEnormal"/>
              <w:spacing w:after="240"/>
              <w:rPr>
                <w:rFonts w:ascii="Segoe UI Historic" w:hAnsi="Segoe UI Historic" w:cs="Segoe UI Historic"/>
              </w:rPr>
            </w:pPr>
            <w:r w:rsidRPr="00AB0B92">
              <w:rPr>
                <w:rFonts w:ascii="Segoe UI Historic" w:hAnsi="Segoe UI Historic" w:cs="Segoe UI Historic"/>
              </w:rPr>
              <w:t>Ideally eight (8), but no less than five (5),</w:t>
            </w:r>
            <w:r w:rsidR="00BD3691">
              <w:rPr>
                <w:rFonts w:ascii="Segoe UI Historic" w:hAnsi="Segoe UI Historic" w:cs="Segoe UI Historic"/>
              </w:rPr>
              <w:t xml:space="preserve"> </w:t>
            </w:r>
            <w:r w:rsidRPr="00AB0B92">
              <w:rPr>
                <w:rFonts w:ascii="Segoe UI Historic" w:hAnsi="Segoe UI Historic" w:cs="Segoe UI Historic"/>
              </w:rPr>
              <w:t>mathematics</w:t>
            </w:r>
            <w:r w:rsidR="00BD3691">
              <w:rPr>
                <w:rFonts w:ascii="Segoe UI Historic" w:hAnsi="Segoe UI Historic" w:cs="Segoe UI Historic"/>
              </w:rPr>
              <w:t xml:space="preserve"> </w:t>
            </w:r>
            <w:r w:rsidRPr="00AB0B92">
              <w:rPr>
                <w:rFonts w:ascii="Segoe UI Historic" w:hAnsi="Segoe UI Historic" w:cs="Segoe UI Historic"/>
              </w:rPr>
              <w:t>practices</w:t>
            </w:r>
          </w:p>
          <w:p w14:paraId="46745E3F" w14:textId="7B86FE99" w:rsidR="00AB0B92" w:rsidRPr="00BD3691" w:rsidRDefault="00AB0B92" w:rsidP="00AB0B92">
            <w:pPr>
              <w:pStyle w:val="SBEnormal"/>
              <w:spacing w:after="240"/>
              <w:rPr>
                <w:rFonts w:ascii="Segoe UI Historic" w:hAnsi="Segoe UI Historic" w:cs="Segoe UI Historic"/>
                <w:sz w:val="22"/>
                <w:szCs w:val="22"/>
              </w:rPr>
            </w:pPr>
            <w:r w:rsidRPr="00AB0B92">
              <w:rPr>
                <w:rFonts w:ascii="Segoe UI Historic" w:hAnsi="Segoe UI Historic" w:cs="Segoe UI Historic"/>
                <w:i/>
                <w:iCs/>
                <w:sz w:val="22"/>
                <w:szCs w:val="22"/>
              </w:rPr>
              <w:t>(assessed with statewide rubric)</w:t>
            </w:r>
          </w:p>
        </w:tc>
        <w:tc>
          <w:tcPr>
            <w:tcW w:w="764" w:type="dxa"/>
          </w:tcPr>
          <w:p w14:paraId="7950637F" w14:textId="708A141C" w:rsidR="00AB0B92" w:rsidRPr="00AB0B92" w:rsidRDefault="00AB0B92" w:rsidP="00AB0B92">
            <w:pPr>
              <w:pStyle w:val="SBEnormal"/>
              <w:spacing w:after="240"/>
              <w:jc w:val="center"/>
              <w:rPr>
                <w:rFonts w:ascii="Segoe UI Historic" w:hAnsi="Segoe UI Historic" w:cs="Segoe UI Historic"/>
              </w:rPr>
            </w:pPr>
            <w:r w:rsidRPr="00AB0B92">
              <w:rPr>
                <w:rFonts w:ascii="Segoe UI Historic" w:hAnsi="Segoe UI Historic" w:cs="Segoe UI Historic"/>
                <w:sz w:val="80"/>
                <w:szCs w:val="80"/>
              </w:rPr>
              <w:t>=</w:t>
            </w:r>
          </w:p>
        </w:tc>
        <w:tc>
          <w:tcPr>
            <w:tcW w:w="2136" w:type="dxa"/>
          </w:tcPr>
          <w:p w14:paraId="720144F2" w14:textId="03746170" w:rsidR="00AB0B92" w:rsidRPr="00AB0B92" w:rsidRDefault="00AB0B92" w:rsidP="00AB0B92">
            <w:pPr>
              <w:pStyle w:val="SBEnormal"/>
              <w:spacing w:after="240"/>
              <w:rPr>
                <w:rFonts w:ascii="Segoe UI Historic" w:hAnsi="Segoe UI Historic" w:cs="Segoe UI Historic"/>
              </w:rPr>
            </w:pPr>
            <w:r w:rsidRPr="00AB0B92">
              <w:rPr>
                <w:rFonts w:ascii="Segoe UI Historic" w:hAnsi="Segoe UI Historic" w:cs="Segoe UI Historic"/>
              </w:rPr>
              <w:t>Completion of performance-based graduation pathway</w:t>
            </w:r>
          </w:p>
        </w:tc>
      </w:tr>
    </w:tbl>
    <w:p w14:paraId="7CE929AB" w14:textId="77777777" w:rsidR="00AB0B92" w:rsidRDefault="00AB0B92" w:rsidP="00701FF0">
      <w:pPr>
        <w:spacing w:after="280"/>
        <w:rPr>
          <w:rFonts w:ascii="Segoe UI" w:eastAsiaTheme="majorEastAsia" w:hAnsi="Segoe UI" w:cs="Segoe UI"/>
          <w:color w:val="000000" w:themeColor="text1"/>
        </w:rPr>
      </w:pPr>
    </w:p>
    <w:p w14:paraId="320A96E7" w14:textId="36C678CE" w:rsidR="00701FF0" w:rsidRPr="00701FF0" w:rsidRDefault="00701FF0" w:rsidP="00701FF0">
      <w:pPr>
        <w:spacing w:after="280"/>
        <w:rPr>
          <w:rFonts w:ascii="Segoe UI" w:eastAsiaTheme="majorEastAsia" w:hAnsi="Segoe UI" w:cs="Segoe UI"/>
          <w:color w:val="000000" w:themeColor="text1"/>
        </w:rPr>
      </w:pPr>
      <w:r w:rsidRPr="00701FF0">
        <w:rPr>
          <w:rFonts w:ascii="Segoe UI" w:eastAsiaTheme="majorEastAsia" w:hAnsi="Segoe UI" w:cs="Segoe UI"/>
          <w:color w:val="000000" w:themeColor="text1"/>
        </w:rPr>
        <w:t xml:space="preserve">These requirements will create the conditions for students, educators, or other stakeholders across the state of Washington to successfully create authentic learning experiences that ultimately allow the student to produce evidence of meeting high school mathematics learning standards by demonstrating knowledge and skills in a real-world context, aligned to the student’s </w:t>
      </w:r>
      <w:hyperlink r:id="rId14" w:history="1">
        <w:r w:rsidRPr="00701FF0">
          <w:rPr>
            <w:rStyle w:val="Hyperlink"/>
            <w:rFonts w:ascii="Segoe UI" w:eastAsiaTheme="majorEastAsia" w:hAnsi="Segoe UI" w:cs="Segoe UI"/>
          </w:rPr>
          <w:t>High School and Beyond Plan</w:t>
        </w:r>
      </w:hyperlink>
      <w:r w:rsidRPr="00701FF0">
        <w:rPr>
          <w:rFonts w:ascii="Segoe UI" w:eastAsiaTheme="majorEastAsia" w:hAnsi="Segoe UI" w:cs="Segoe UI"/>
          <w:color w:val="000000" w:themeColor="text1"/>
        </w:rPr>
        <w:t>.</w:t>
      </w:r>
    </w:p>
    <w:p w14:paraId="4B9D66DF" w14:textId="77777777" w:rsidR="00D4760B" w:rsidRDefault="00701FF0" w:rsidP="00701FF0">
      <w:pPr>
        <w:spacing w:after="280"/>
        <w:rPr>
          <w:rFonts w:ascii="Segoe UI" w:eastAsiaTheme="majorEastAsia" w:hAnsi="Segoe UI" w:cs="Segoe UI"/>
          <w:color w:val="000000" w:themeColor="text1"/>
        </w:rPr>
      </w:pPr>
      <w:r w:rsidRPr="00701FF0">
        <w:rPr>
          <w:rFonts w:ascii="Segoe UI" w:eastAsiaTheme="majorEastAsia" w:hAnsi="Segoe UI" w:cs="Segoe UI"/>
          <w:color w:val="000000" w:themeColor="text1"/>
        </w:rPr>
        <w:t>This approach also ensures the learning experience can be adjusted in such a way that it is meaningful for students and communities. For example, if the learning experience requires students to design a business plan, they would need to create and solve equations in order to predict business expenses and profits, to identify important quantities within a practical situation connected to their business proposal and map their relationships, and they would need to test propositions or conjectures with specific examples, using appropriate equations. </w:t>
      </w:r>
    </w:p>
    <w:p w14:paraId="01348251" w14:textId="77777777" w:rsidR="00833299" w:rsidRDefault="00701FF0" w:rsidP="00701FF0">
      <w:pPr>
        <w:spacing w:after="280"/>
        <w:rPr>
          <w:rFonts w:ascii="Segoe UI" w:eastAsiaTheme="majorEastAsia" w:hAnsi="Segoe UI" w:cs="Segoe UI"/>
          <w:color w:val="000000" w:themeColor="text1"/>
        </w:rPr>
      </w:pPr>
      <w:r w:rsidRPr="00701FF0">
        <w:rPr>
          <w:rFonts w:ascii="Segoe UI" w:eastAsiaTheme="majorEastAsia" w:hAnsi="Segoe UI" w:cs="Segoe UI"/>
          <w:color w:val="000000" w:themeColor="text1"/>
        </w:rPr>
        <w:t>Learning experiences have to be designed in such a way that they require students to model and utilize math within the context of a real-world situation, in doing so the student will both contextualize and decontextualize the mathematics to demonstrate knowledge and skills</w:t>
      </w:r>
      <w:r w:rsidR="00833299">
        <w:rPr>
          <w:rFonts w:ascii="Segoe UI" w:eastAsiaTheme="majorEastAsia" w:hAnsi="Segoe UI" w:cs="Segoe UI"/>
          <w:color w:val="000000" w:themeColor="text1"/>
        </w:rPr>
        <w:t>.</w:t>
      </w:r>
    </w:p>
    <w:p w14:paraId="3E69D500" w14:textId="00147FCF" w:rsidR="008B522E" w:rsidRPr="00701FF0" w:rsidRDefault="00833299" w:rsidP="008B522E">
      <w:pPr>
        <w:spacing w:after="280"/>
        <w:rPr>
          <w:rFonts w:ascii="Segoe UI" w:eastAsiaTheme="majorEastAsia" w:hAnsi="Segoe UI" w:cs="Segoe UI"/>
          <w:color w:val="000000" w:themeColor="text1"/>
        </w:rPr>
      </w:pPr>
      <w:r w:rsidRPr="00833299">
        <w:rPr>
          <w:rFonts w:ascii="Helvetica Neue" w:hAnsi="Helvetica Neue"/>
          <w:color w:val="000000"/>
          <w:sz w:val="22"/>
          <w:szCs w:val="22"/>
        </w:rPr>
        <w:t xml:space="preserve"> </w:t>
      </w:r>
      <w:r w:rsidRPr="00833299">
        <w:rPr>
          <w:rFonts w:ascii="Segoe UI" w:eastAsiaTheme="majorEastAsia" w:hAnsi="Segoe UI" w:cs="Segoe UI"/>
          <w:color w:val="000000" w:themeColor="text1"/>
        </w:rPr>
        <w:t xml:space="preserve">While the focus of this document is to describe the mathematics focus standards for the performance-based graduation pathway, learning experiences that are developed may also inherently give students the opportunity to practice and provide evidence of skills present in </w:t>
      </w:r>
      <w:hyperlink r:id="rId15" w:history="1">
        <w:r w:rsidRPr="00833299">
          <w:rPr>
            <w:rStyle w:val="Hyperlink"/>
            <w:rFonts w:ascii="Segoe UI" w:eastAsiaTheme="majorEastAsia" w:hAnsi="Segoe UI" w:cs="Segoe UI"/>
          </w:rPr>
          <w:t>Washington's Profile of a Graduate</w:t>
        </w:r>
      </w:hyperlink>
      <w:r w:rsidRPr="00833299">
        <w:rPr>
          <w:rFonts w:ascii="Segoe UI" w:eastAsiaTheme="majorEastAsia" w:hAnsi="Segoe UI" w:cs="Segoe UI"/>
          <w:color w:val="000000" w:themeColor="text1"/>
        </w:rPr>
        <w:t>.</w:t>
      </w:r>
    </w:p>
    <w:p w14:paraId="364D7E34" w14:textId="2B7C64E3" w:rsidR="008B522E" w:rsidRDefault="008B522E" w:rsidP="008B522E">
      <w:pPr>
        <w:pStyle w:val="SBEHeaderRed"/>
        <w:spacing w:after="120"/>
      </w:pPr>
      <w:r>
        <w:t>Resources</w:t>
      </w:r>
    </w:p>
    <w:p w14:paraId="05F9A78A" w14:textId="00675946" w:rsidR="00701FF0" w:rsidRDefault="00160082" w:rsidP="00701FF0">
      <w:pPr>
        <w:pStyle w:val="SBEnormal"/>
        <w:spacing w:after="240"/>
        <w:rPr>
          <w:rFonts w:ascii="Segoe UI" w:eastAsiaTheme="majorEastAsia" w:hAnsi="Segoe UI" w:cs="Segoe UI"/>
          <w:color w:val="000000" w:themeColor="text1"/>
        </w:rPr>
      </w:pPr>
      <w:r w:rsidRPr="00160082">
        <w:rPr>
          <w:rFonts w:ascii="Segoe UI" w:eastAsiaTheme="majorEastAsia" w:hAnsi="Segoe UI" w:cs="Segoe UI"/>
          <w:color w:val="000000" w:themeColor="text1"/>
        </w:rPr>
        <w:t>National Council for the Teachers of Mathematics</w:t>
      </w:r>
      <w:r>
        <w:rPr>
          <w:rFonts w:ascii="Segoe UI" w:eastAsiaTheme="majorEastAsia" w:hAnsi="Segoe UI" w:cs="Segoe UI"/>
          <w:color w:val="000000" w:themeColor="text1"/>
        </w:rPr>
        <w:t xml:space="preserve"> (</w:t>
      </w:r>
      <w:r w:rsidR="00701FF0" w:rsidRPr="00701FF0">
        <w:rPr>
          <w:rFonts w:ascii="Segoe UI" w:eastAsiaTheme="majorEastAsia" w:hAnsi="Segoe UI" w:cs="Segoe UI"/>
          <w:color w:val="000000" w:themeColor="text1"/>
        </w:rPr>
        <w:t>NCTM</w:t>
      </w:r>
      <w:r>
        <w:rPr>
          <w:rFonts w:ascii="Segoe UI" w:eastAsiaTheme="majorEastAsia" w:hAnsi="Segoe UI" w:cs="Segoe UI"/>
          <w:color w:val="000000" w:themeColor="text1"/>
        </w:rPr>
        <w:t>)</w:t>
      </w:r>
      <w:r w:rsidR="00701FF0" w:rsidRPr="00701FF0">
        <w:rPr>
          <w:rFonts w:ascii="Segoe UI" w:eastAsiaTheme="majorEastAsia" w:hAnsi="Segoe UI" w:cs="Segoe UI"/>
          <w:color w:val="000000" w:themeColor="text1"/>
        </w:rPr>
        <w:t xml:space="preserve"> </w:t>
      </w:r>
      <w:hyperlink r:id="rId16" w:history="1">
        <w:r w:rsidR="00701FF0" w:rsidRPr="00160082">
          <w:rPr>
            <w:rStyle w:val="Hyperlink"/>
            <w:rFonts w:ascii="Segoe UI" w:eastAsiaTheme="majorEastAsia" w:hAnsi="Segoe UI" w:cs="Segoe UI"/>
          </w:rPr>
          <w:t>Essential Concepts for High School</w:t>
        </w:r>
      </w:hyperlink>
    </w:p>
    <w:p w14:paraId="76715171" w14:textId="17925008" w:rsidR="004822E4" w:rsidRPr="00701FF0" w:rsidRDefault="00701FF0" w:rsidP="00701FF0">
      <w:pPr>
        <w:pStyle w:val="SBEnormal"/>
        <w:spacing w:after="240"/>
        <w:rPr>
          <w:rFonts w:ascii="Segoe UI" w:eastAsiaTheme="majorEastAsia" w:hAnsi="Segoe UI" w:cs="Segoe UI"/>
          <w:color w:val="000000" w:themeColor="text1"/>
        </w:rPr>
      </w:pPr>
      <w:r w:rsidRPr="00701FF0">
        <w:rPr>
          <w:rFonts w:ascii="Segoe UI" w:eastAsiaTheme="majorEastAsia" w:hAnsi="Segoe UI" w:cs="Segoe UI"/>
          <w:color w:val="000000" w:themeColor="text1"/>
        </w:rPr>
        <w:t xml:space="preserve">O*Net </w:t>
      </w:r>
      <w:proofErr w:type="spellStart"/>
      <w:r w:rsidRPr="00701FF0">
        <w:rPr>
          <w:rFonts w:ascii="Segoe UI" w:eastAsiaTheme="majorEastAsia" w:hAnsi="Segoe UI" w:cs="Segoe UI"/>
          <w:color w:val="000000" w:themeColor="text1"/>
        </w:rPr>
        <w:t>OnLine</w:t>
      </w:r>
      <w:proofErr w:type="spellEnd"/>
      <w:r w:rsidRPr="00701FF0">
        <w:rPr>
          <w:rFonts w:ascii="Segoe UI" w:eastAsiaTheme="majorEastAsia" w:hAnsi="Segoe UI" w:cs="Segoe UI"/>
          <w:color w:val="000000" w:themeColor="text1"/>
        </w:rPr>
        <w:t xml:space="preserve"> </w:t>
      </w:r>
      <w:hyperlink r:id="rId17" w:history="1">
        <w:r w:rsidRPr="00701FF0">
          <w:rPr>
            <w:rFonts w:ascii="Segoe UI" w:eastAsiaTheme="majorEastAsia" w:hAnsi="Segoe UI" w:cs="Segoe UI"/>
            <w:color w:val="0563C2"/>
            <w:u w:val="single"/>
          </w:rPr>
          <w:t>https://www.onetonline.org/</w:t>
        </w:r>
      </w:hyperlink>
      <w:r w:rsidRPr="00701FF0">
        <w:rPr>
          <w:rFonts w:ascii="Segoe UI" w:eastAsiaTheme="majorEastAsia" w:hAnsi="Segoe UI" w:cs="Segoe UI"/>
          <w:color w:val="000000" w:themeColor="text1"/>
        </w:rPr>
        <w:t xml:space="preserve"> (Use the search field in the upper right corner of page to search a career, results list "mathematics" under skills for different careers. The + to the left of that will list math disciplines.)</w:t>
      </w:r>
    </w:p>
    <w:sectPr w:rsidR="004822E4" w:rsidRPr="00701FF0" w:rsidSect="00AB0B92">
      <w:footerReference w:type="default" r:id="rId18"/>
      <w:headerReference w:type="first" r:id="rId19"/>
      <w:footerReference w:type="first" r:id="rId20"/>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0A8E" w14:textId="77777777" w:rsidR="00694B64" w:rsidRDefault="00694B64" w:rsidP="00970B79">
      <w:r>
        <w:separator/>
      </w:r>
    </w:p>
  </w:endnote>
  <w:endnote w:type="continuationSeparator" w:id="0">
    <w:p w14:paraId="467D0AAF" w14:textId="77777777" w:rsidR="00694B64" w:rsidRDefault="00694B64" w:rsidP="0097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689946"/>
      <w:docPartObj>
        <w:docPartGallery w:val="Page Numbers (Bottom of Page)"/>
        <w:docPartUnique/>
      </w:docPartObj>
    </w:sdtPr>
    <w:sdtEndPr>
      <w:rPr>
        <w:noProof/>
      </w:rPr>
    </w:sdtEndPr>
    <w:sdtContent>
      <w:p w14:paraId="14864F28" w14:textId="0432E6C8" w:rsidR="00400E3A" w:rsidRDefault="00400E3A" w:rsidP="00E11468">
        <w:pPr>
          <w:pStyle w:val="Footer"/>
          <w:jc w:val="right"/>
        </w:pPr>
        <w:r>
          <w:fldChar w:fldCharType="begin"/>
        </w:r>
        <w:r>
          <w:instrText xml:space="preserve"> PAGE   \* MERGEFORMAT </w:instrText>
        </w:r>
        <w:r>
          <w:fldChar w:fldCharType="separate"/>
        </w:r>
        <w:r w:rsidR="00073B20">
          <w:rPr>
            <w:noProof/>
          </w:rPr>
          <w:t>10</w:t>
        </w:r>
        <w:r>
          <w:rPr>
            <w:noProof/>
          </w:rPr>
          <w:fldChar w:fldCharType="end"/>
        </w:r>
      </w:p>
    </w:sdtContent>
  </w:sdt>
  <w:p w14:paraId="7F975AE3" w14:textId="0D7DA08F" w:rsidR="00400E3A" w:rsidRPr="00AD5B19" w:rsidRDefault="00AD5B19" w:rsidP="00970B79">
    <w:pPr>
      <w:pStyle w:val="Footer"/>
    </w:pPr>
    <w:r w:rsidRPr="00AD5B19">
      <w:rPr>
        <w:noProof/>
      </w:rPr>
      <w:fldChar w:fldCharType="begin"/>
    </w:r>
    <w:r w:rsidRPr="00AD5B19">
      <w:rPr>
        <w:noProof/>
      </w:rPr>
      <w:instrText xml:space="preserve"> INCLUDEPICTURE "https://lh7-us.googleusercontent.com/JNkXkEUzJ70m0oJg92mEDPaA7xnPG6WOpbom5yyR8ehUEosHe_79eLc_1UBp1U627NnF1GVtOeIsPOWgD7u_DUQPDd8zfLtdwv5A_Q4nURT12BHjFrFkqYZjR_4aYUn22Ad6yEJCGs2fFldYiV4rRtA" \* MERGEFORMATINET </w:instrText>
    </w:r>
    <w:r w:rsidR="00D064B2">
      <w:rPr>
        <w:noProof/>
      </w:rPr>
      <w:fldChar w:fldCharType="separate"/>
    </w:r>
    <w:r w:rsidRPr="00AD5B19">
      <w:rPr>
        <w:noProof/>
      </w:rPr>
      <w:fldChar w:fldCharType="end"/>
    </w:r>
    <w:r w:rsidR="001F3929" w:rsidRPr="00AD5B1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9D72" w14:textId="77777777" w:rsidR="001F3929" w:rsidRPr="003E02C5" w:rsidRDefault="001F3929" w:rsidP="00AB0B92">
    <w:pPr>
      <w:pStyle w:val="Footer"/>
      <w:spacing w:before="40"/>
      <w:rPr>
        <w:rFonts w:ascii="Segoe UI Historic" w:hAnsi="Segoe UI Historic" w:cs="Segoe UI Historic"/>
        <w:sz w:val="18"/>
        <w:szCs w:val="18"/>
      </w:rPr>
    </w:pPr>
    <w:r w:rsidRPr="003E02C5">
      <w:rPr>
        <w:rFonts w:ascii="Segoe UI Historic" w:hAnsi="Segoe UI Historic" w:cs="Segoe UI Historic"/>
        <w:noProof/>
        <w:sz w:val="18"/>
        <w:szCs w:val="18"/>
      </w:rPr>
      <w:drawing>
        <wp:anchor distT="0" distB="0" distL="114300" distR="114300" simplePos="0" relativeHeight="251660288" behindDoc="1" locked="0" layoutInCell="1" allowOverlap="1" wp14:anchorId="03AD1F72" wp14:editId="2DCDC89C">
          <wp:simplePos x="0" y="0"/>
          <wp:positionH relativeFrom="column">
            <wp:posOffset>22225</wp:posOffset>
          </wp:positionH>
          <wp:positionV relativeFrom="paragraph">
            <wp:posOffset>109693</wp:posOffset>
          </wp:positionV>
          <wp:extent cx="483235" cy="171450"/>
          <wp:effectExtent l="0" t="0" r="0" b="6350"/>
          <wp:wrapTight wrapText="bothSides">
            <wp:wrapPolygon edited="0">
              <wp:start x="0" y="0"/>
              <wp:lineTo x="0" y="20800"/>
              <wp:lineTo x="21004" y="20800"/>
              <wp:lineTo x="21004" y="0"/>
              <wp:lineTo x="0" y="0"/>
            </wp:wrapPolygon>
          </wp:wrapTight>
          <wp:docPr id="1383588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23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2C5">
      <w:rPr>
        <w:rFonts w:ascii="Segoe UI Historic" w:hAnsi="Segoe UI Historic" w:cs="Segoe UI Historic"/>
        <w:noProof/>
        <w:sz w:val="18"/>
        <w:szCs w:val="18"/>
      </w:rPr>
      <w:fldChar w:fldCharType="begin"/>
    </w:r>
    <w:r w:rsidRPr="003E02C5">
      <w:rPr>
        <w:rFonts w:ascii="Segoe UI Historic" w:hAnsi="Segoe UI Historic" w:cs="Segoe UI Historic"/>
        <w:noProof/>
        <w:sz w:val="18"/>
        <w:szCs w:val="18"/>
      </w:rPr>
      <w:instrText xml:space="preserve"> INCLUDEPICTURE "https://lh7-us.googleusercontent.com/JNkXkEUzJ70m0oJg92mEDPaA7xnPG6WOpbom5yyR8ehUEosHe_79eLc_1UBp1U627NnF1GVtOeIsPOWgD7u_DUQPDd8zfLtdwv5A_Q4nURT12BHjFrFkqYZjR_4aYUn22Ad6yEJCGs2fFldYiV4rRtA" \* MERGEFORMATINET </w:instrText>
    </w:r>
    <w:r w:rsidR="00D064B2">
      <w:rPr>
        <w:rFonts w:ascii="Segoe UI Historic" w:hAnsi="Segoe UI Historic" w:cs="Segoe UI Historic"/>
        <w:noProof/>
        <w:sz w:val="18"/>
        <w:szCs w:val="18"/>
      </w:rPr>
      <w:fldChar w:fldCharType="separate"/>
    </w:r>
    <w:r w:rsidRPr="003E02C5">
      <w:rPr>
        <w:rFonts w:ascii="Segoe UI Historic" w:hAnsi="Segoe UI Historic" w:cs="Segoe UI Historic"/>
        <w:noProof/>
        <w:sz w:val="18"/>
        <w:szCs w:val="18"/>
      </w:rPr>
      <w:fldChar w:fldCharType="end"/>
    </w:r>
    <w:r w:rsidRPr="003E02C5">
      <w:rPr>
        <w:rFonts w:ascii="Segoe UI Historic" w:hAnsi="Segoe UI Historic" w:cs="Segoe UI Historic"/>
        <w:noProof/>
        <w:sz w:val="18"/>
        <w:szCs w:val="18"/>
      </w:rPr>
      <w:t xml:space="preserve">This resource was created by </w:t>
    </w:r>
    <w:hyperlink r:id="rId2" w:history="1">
      <w:r w:rsidRPr="003E02C5">
        <w:rPr>
          <w:rStyle w:val="Hyperlink"/>
          <w:rFonts w:ascii="Segoe UI Historic" w:hAnsi="Segoe UI Historic" w:cs="Segoe UI Historic"/>
          <w:noProof/>
          <w:sz w:val="18"/>
          <w:szCs w:val="18"/>
        </w:rPr>
        <w:t>Great Schools Partnership, Inc</w:t>
      </w:r>
    </w:hyperlink>
    <w:r w:rsidRPr="003E02C5">
      <w:rPr>
        <w:rFonts w:ascii="Segoe UI Historic" w:hAnsi="Segoe UI Historic" w:cs="Segoe UI Historic"/>
        <w:noProof/>
        <w:sz w:val="18"/>
        <w:szCs w:val="18"/>
      </w:rPr>
      <w:t xml:space="preserve">. for the </w:t>
    </w:r>
    <w:hyperlink r:id="rId3" w:history="1">
      <w:r w:rsidRPr="003E02C5">
        <w:rPr>
          <w:rStyle w:val="Hyperlink"/>
          <w:rFonts w:ascii="Segoe UI Historic" w:hAnsi="Segoe UI Historic" w:cs="Segoe UI Historic"/>
          <w:noProof/>
          <w:sz w:val="18"/>
          <w:szCs w:val="18"/>
        </w:rPr>
        <w:t>Washington State Board of Education</w:t>
      </w:r>
    </w:hyperlink>
    <w:r w:rsidRPr="003E02C5">
      <w:rPr>
        <w:rFonts w:ascii="Segoe UI Historic" w:hAnsi="Segoe UI Historic" w:cs="Segoe UI Historic"/>
        <w:noProof/>
        <w:sz w:val="18"/>
        <w:szCs w:val="18"/>
      </w:rPr>
      <w:t xml:space="preserve"> and is licensed under a</w:t>
    </w:r>
    <w:r w:rsidRPr="003E02C5">
      <w:rPr>
        <w:rFonts w:ascii="Segoe UI Historic" w:hAnsi="Segoe UI Historic" w:cs="Segoe UI Historic"/>
        <w:color w:val="2B2A2B"/>
        <w:sz w:val="18"/>
        <w:szCs w:val="18"/>
      </w:rPr>
      <w:t xml:space="preserve"> </w:t>
    </w:r>
    <w:hyperlink r:id="rId4" w:history="1">
      <w:r w:rsidRPr="003E02C5">
        <w:rPr>
          <w:rStyle w:val="Hyperlink"/>
          <w:rFonts w:ascii="Segoe UI Historic" w:hAnsi="Segoe UI Historic" w:cs="Segoe UI Historic"/>
          <w:color w:val="0563C2"/>
          <w:sz w:val="18"/>
          <w:szCs w:val="18"/>
        </w:rPr>
        <w:t>Creative Commons Attribution-</w:t>
      </w:r>
      <w:proofErr w:type="spellStart"/>
      <w:r w:rsidRPr="003E02C5">
        <w:rPr>
          <w:rStyle w:val="Hyperlink"/>
          <w:rFonts w:ascii="Segoe UI Historic" w:hAnsi="Segoe UI Historic" w:cs="Segoe UI Historic"/>
          <w:color w:val="0563C2"/>
          <w:sz w:val="18"/>
          <w:szCs w:val="18"/>
        </w:rPr>
        <w:t>NonCommercial</w:t>
      </w:r>
      <w:proofErr w:type="spellEnd"/>
      <w:r w:rsidRPr="003E02C5">
        <w:rPr>
          <w:rStyle w:val="Hyperlink"/>
          <w:rFonts w:ascii="Segoe UI Historic" w:hAnsi="Segoe UI Historic" w:cs="Segoe UI Historic"/>
          <w:color w:val="0563C2"/>
          <w:sz w:val="18"/>
          <w:szCs w:val="18"/>
        </w:rPr>
        <w:t>-</w:t>
      </w:r>
      <w:proofErr w:type="spellStart"/>
      <w:r w:rsidRPr="003E02C5">
        <w:rPr>
          <w:rStyle w:val="Hyperlink"/>
          <w:rFonts w:ascii="Segoe UI Historic" w:hAnsi="Segoe UI Historic" w:cs="Segoe UI Historic"/>
          <w:color w:val="0563C2"/>
          <w:sz w:val="18"/>
          <w:szCs w:val="18"/>
        </w:rPr>
        <w:t>ShareAlike</w:t>
      </w:r>
      <w:proofErr w:type="spellEnd"/>
      <w:r w:rsidRPr="003E02C5">
        <w:rPr>
          <w:rStyle w:val="Hyperlink"/>
          <w:rFonts w:ascii="Segoe UI Historic" w:hAnsi="Segoe UI Historic" w:cs="Segoe UI Historic"/>
          <w:color w:val="0563C2"/>
          <w:sz w:val="18"/>
          <w:szCs w:val="18"/>
        </w:rPr>
        <w:t xml:space="preserve"> 4.0 International License</w:t>
      </w:r>
    </w:hyperlink>
  </w:p>
  <w:p w14:paraId="618E63B3" w14:textId="77777777" w:rsidR="00AD5B19" w:rsidRDefault="00AD5B19" w:rsidP="00970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C611" w14:textId="77777777" w:rsidR="00694B64" w:rsidRDefault="00694B64" w:rsidP="00970B79">
      <w:r>
        <w:separator/>
      </w:r>
    </w:p>
  </w:footnote>
  <w:footnote w:type="continuationSeparator" w:id="0">
    <w:p w14:paraId="0F66697F" w14:textId="77777777" w:rsidR="00694B64" w:rsidRDefault="00694B64" w:rsidP="00970B79">
      <w:r>
        <w:continuationSeparator/>
      </w:r>
    </w:p>
  </w:footnote>
  <w:footnote w:id="1">
    <w:p w14:paraId="687002EF" w14:textId="68C859A6" w:rsidR="003E02C5" w:rsidRPr="00AB0B92" w:rsidRDefault="003E02C5" w:rsidP="00AB0B92">
      <w:pPr>
        <w:pStyle w:val="NormalWeb"/>
        <w:rPr>
          <w:sz w:val="18"/>
          <w:szCs w:val="18"/>
        </w:rPr>
      </w:pPr>
      <w:r w:rsidRPr="00AB0B92">
        <w:rPr>
          <w:rStyle w:val="FootnoteReference"/>
          <w:sz w:val="18"/>
          <w:szCs w:val="18"/>
        </w:rPr>
        <w:footnoteRef/>
      </w:r>
      <w:r w:rsidRPr="00AB0B92">
        <w:rPr>
          <w:sz w:val="18"/>
          <w:szCs w:val="18"/>
        </w:rPr>
        <w:t xml:space="preserve"> </w:t>
      </w:r>
      <w:r w:rsidRPr="00AB0B92">
        <w:rPr>
          <w:rFonts w:ascii="Arial" w:hAnsi="Arial" w:cs="Arial"/>
          <w:color w:val="000000"/>
          <w:sz w:val="18"/>
          <w:szCs w:val="18"/>
        </w:rPr>
        <w:t xml:space="preserve"> Defined in </w:t>
      </w:r>
      <w:hyperlink r:id="rId1" w:history="1">
        <w:r w:rsidRPr="00AB0B92">
          <w:rPr>
            <w:rStyle w:val="Hyperlink"/>
            <w:rFonts w:ascii="Arial" w:eastAsiaTheme="majorEastAsia" w:hAnsi="Arial" w:cs="Arial"/>
            <w:color w:val="1155CC"/>
            <w:sz w:val="18"/>
            <w:szCs w:val="18"/>
          </w:rPr>
          <w:t>HB 1308: High School Graduation Pathway Options - Various Provisions</w:t>
        </w:r>
      </w:hyperlink>
      <w:r w:rsidRPr="00AB0B92">
        <w:rPr>
          <w:rFonts w:ascii="Arial" w:hAnsi="Arial" w:cs="Arial"/>
          <w:color w:val="000000"/>
          <w:sz w:val="18"/>
          <w:szCs w:val="18"/>
        </w:rPr>
        <w:t xml:space="preserve"> (p. 4 lines 33 - 37).</w:t>
      </w:r>
    </w:p>
  </w:footnote>
  <w:footnote w:id="2">
    <w:p w14:paraId="561934AA" w14:textId="77777777" w:rsidR="00AB0B92" w:rsidRDefault="00AB0B92" w:rsidP="00AB0B92">
      <w:pPr>
        <w:pStyle w:val="FootnoteText"/>
      </w:pPr>
      <w:r w:rsidRPr="00AB0B92">
        <w:rPr>
          <w:rStyle w:val="FootnoteReference"/>
          <w:sz w:val="18"/>
          <w:szCs w:val="18"/>
        </w:rPr>
        <w:footnoteRef/>
      </w:r>
      <w:r w:rsidRPr="00AB0B92">
        <w:rPr>
          <w:sz w:val="18"/>
          <w:szCs w:val="18"/>
        </w:rPr>
        <w:t xml:space="preserve"> </w:t>
      </w:r>
      <w:r w:rsidRPr="00AB0B92">
        <w:rPr>
          <w:rFonts w:ascii="Arial" w:hAnsi="Arial" w:cs="Arial"/>
          <w:color w:val="000000"/>
          <w:sz w:val="18"/>
          <w:szCs w:val="18"/>
        </w:rPr>
        <w:t> </w:t>
      </w:r>
      <w:r w:rsidRPr="00AB0B92">
        <w:rPr>
          <w:rFonts w:ascii="Helvetica Neue" w:hAnsi="Helvetica Neue"/>
          <w:i/>
          <w:iCs/>
          <w:color w:val="000000"/>
          <w:sz w:val="18"/>
          <w:szCs w:val="18"/>
        </w:rPr>
        <w:t xml:space="preserve">Taken directly from the </w:t>
      </w:r>
      <w:hyperlink r:id="rId2" w:history="1">
        <w:r w:rsidRPr="00AB0B92">
          <w:rPr>
            <w:rStyle w:val="Hyperlink"/>
            <w:rFonts w:ascii="Helvetica Neue" w:hAnsi="Helvetica Neue"/>
            <w:i/>
            <w:iCs/>
            <w:color w:val="1155CC"/>
            <w:sz w:val="18"/>
            <w:szCs w:val="18"/>
          </w:rPr>
          <w:t>Washington State Mathematics Standards for High School</w:t>
        </w:r>
      </w:hyperlink>
    </w:p>
  </w:footnote>
  <w:footnote w:id="3">
    <w:p w14:paraId="358D877C" w14:textId="77777777" w:rsidR="00AB0B92" w:rsidRDefault="00AB0B92" w:rsidP="00AB0B92">
      <w:pPr>
        <w:pStyle w:val="FootnoteText"/>
      </w:pPr>
      <w:r w:rsidRPr="00AB0B92">
        <w:rPr>
          <w:rStyle w:val="FootnoteReference"/>
          <w:sz w:val="18"/>
          <w:szCs w:val="18"/>
        </w:rPr>
        <w:footnoteRef/>
      </w:r>
      <w:r w:rsidRPr="00AB0B92">
        <w:rPr>
          <w:sz w:val="18"/>
          <w:szCs w:val="18"/>
        </w:rPr>
        <w:t xml:space="preserve"> </w:t>
      </w:r>
      <w:r w:rsidRPr="00AB0B92">
        <w:rPr>
          <w:rFonts w:ascii="Arial" w:hAnsi="Arial" w:cs="Arial"/>
          <w:color w:val="000000"/>
          <w:sz w:val="18"/>
          <w:szCs w:val="18"/>
        </w:rPr>
        <w:t> </w:t>
      </w:r>
      <w:r w:rsidRPr="00AB0B92">
        <w:rPr>
          <w:rFonts w:ascii="Helvetica Neue" w:hAnsi="Helvetica Neue"/>
          <w:i/>
          <w:iCs/>
          <w:color w:val="000000"/>
          <w:sz w:val="18"/>
          <w:szCs w:val="18"/>
        </w:rPr>
        <w:t xml:space="preserve">Taken directly from the </w:t>
      </w:r>
      <w:hyperlink r:id="rId3" w:history="1">
        <w:r w:rsidRPr="00AB0B92">
          <w:rPr>
            <w:rStyle w:val="Hyperlink"/>
            <w:rFonts w:ascii="Helvetica Neue" w:hAnsi="Helvetica Neue"/>
            <w:i/>
            <w:iCs/>
            <w:color w:val="1155CC"/>
            <w:sz w:val="18"/>
            <w:szCs w:val="18"/>
          </w:rPr>
          <w:t>Washington State Mathematics Standards for High School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33A0" w14:textId="55056860" w:rsidR="001F3929" w:rsidRDefault="001F3929" w:rsidP="00970B79">
    <w:pPr>
      <w:pStyle w:val="Header"/>
    </w:pPr>
    <w:r>
      <w:rPr>
        <w:noProof/>
      </w:rPr>
      <w:drawing>
        <wp:inline distT="0" distB="0" distL="0" distR="0" wp14:anchorId="4B821041" wp14:editId="0F09EF01">
          <wp:extent cx="3095469" cy="605336"/>
          <wp:effectExtent l="0" t="0" r="3810" b="4445"/>
          <wp:docPr id="930649645"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363076" name="Graphic 107136307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95469" cy="605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88E"/>
    <w:multiLevelType w:val="multilevel"/>
    <w:tmpl w:val="43A4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24613"/>
    <w:multiLevelType w:val="hybridMultilevel"/>
    <w:tmpl w:val="10EA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24B51"/>
    <w:multiLevelType w:val="hybridMultilevel"/>
    <w:tmpl w:val="2C529D52"/>
    <w:lvl w:ilvl="0" w:tplc="04090001">
      <w:start w:val="1"/>
      <w:numFmt w:val="bullet"/>
      <w:lvlText w:val=""/>
      <w:lvlJc w:val="left"/>
      <w:pPr>
        <w:ind w:left="720" w:hanging="360"/>
      </w:pPr>
      <w:rPr>
        <w:rFonts w:ascii="Symbol" w:hAnsi="Symbol" w:hint="default"/>
      </w:rPr>
    </w:lvl>
    <w:lvl w:ilvl="1" w:tplc="E01E9A9C">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F4E84"/>
    <w:multiLevelType w:val="hybridMultilevel"/>
    <w:tmpl w:val="CA96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2476E"/>
    <w:multiLevelType w:val="hybridMultilevel"/>
    <w:tmpl w:val="2432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6431D"/>
    <w:multiLevelType w:val="hybridMultilevel"/>
    <w:tmpl w:val="DBB6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76223"/>
    <w:multiLevelType w:val="hybridMultilevel"/>
    <w:tmpl w:val="34028E6A"/>
    <w:lvl w:ilvl="0" w:tplc="5A5E5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E6827"/>
    <w:multiLevelType w:val="hybridMultilevel"/>
    <w:tmpl w:val="E24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77F86"/>
    <w:multiLevelType w:val="hybridMultilevel"/>
    <w:tmpl w:val="8DC44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41DCF"/>
    <w:multiLevelType w:val="multilevel"/>
    <w:tmpl w:val="8C148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F3D69"/>
    <w:multiLevelType w:val="hybridMultilevel"/>
    <w:tmpl w:val="513E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62749"/>
    <w:multiLevelType w:val="multilevel"/>
    <w:tmpl w:val="43A4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4752E0"/>
    <w:multiLevelType w:val="hybridMultilevel"/>
    <w:tmpl w:val="23DAD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01734"/>
    <w:multiLevelType w:val="multilevel"/>
    <w:tmpl w:val="43A4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1B10BF"/>
    <w:multiLevelType w:val="multilevel"/>
    <w:tmpl w:val="6012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963CD9"/>
    <w:multiLevelType w:val="multilevel"/>
    <w:tmpl w:val="43A4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3A1A90"/>
    <w:multiLevelType w:val="hybridMultilevel"/>
    <w:tmpl w:val="85C68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9246C"/>
    <w:multiLevelType w:val="hybridMultilevel"/>
    <w:tmpl w:val="85C680A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7D74B4"/>
    <w:multiLevelType w:val="hybridMultilevel"/>
    <w:tmpl w:val="F9C2133C"/>
    <w:lvl w:ilvl="0" w:tplc="C22CC8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E05FBA"/>
    <w:multiLevelType w:val="hybridMultilevel"/>
    <w:tmpl w:val="38CE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C5146"/>
    <w:multiLevelType w:val="hybridMultilevel"/>
    <w:tmpl w:val="FB56B2DA"/>
    <w:lvl w:ilvl="0" w:tplc="C22CC8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D3587"/>
    <w:multiLevelType w:val="hybridMultilevel"/>
    <w:tmpl w:val="6BCA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A7ED1"/>
    <w:multiLevelType w:val="multilevel"/>
    <w:tmpl w:val="F70A0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EE007B"/>
    <w:multiLevelType w:val="multilevel"/>
    <w:tmpl w:val="41DC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71D22"/>
    <w:multiLevelType w:val="hybridMultilevel"/>
    <w:tmpl w:val="4EBE5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EF22C1"/>
    <w:multiLevelType w:val="hybridMultilevel"/>
    <w:tmpl w:val="44F4A9EA"/>
    <w:lvl w:ilvl="0" w:tplc="04090001">
      <w:start w:val="1"/>
      <w:numFmt w:val="bullet"/>
      <w:lvlText w:val=""/>
      <w:lvlJc w:val="left"/>
      <w:pPr>
        <w:ind w:left="720" w:hanging="360"/>
      </w:pPr>
      <w:rPr>
        <w:rFonts w:ascii="Symbol" w:hAnsi="Symbol" w:hint="default"/>
      </w:rPr>
    </w:lvl>
    <w:lvl w:ilvl="1" w:tplc="12A4669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157D5"/>
    <w:multiLevelType w:val="hybridMultilevel"/>
    <w:tmpl w:val="8F04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4331E"/>
    <w:multiLevelType w:val="multilevel"/>
    <w:tmpl w:val="876A6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743158"/>
    <w:multiLevelType w:val="hybridMultilevel"/>
    <w:tmpl w:val="13502D1A"/>
    <w:lvl w:ilvl="0" w:tplc="3DFA1F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036F9F"/>
    <w:multiLevelType w:val="multilevel"/>
    <w:tmpl w:val="CB24D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674115">
    <w:abstractNumId w:val="2"/>
  </w:num>
  <w:num w:numId="2" w16cid:durableId="829254348">
    <w:abstractNumId w:val="25"/>
  </w:num>
  <w:num w:numId="3" w16cid:durableId="1068650495">
    <w:abstractNumId w:val="19"/>
  </w:num>
  <w:num w:numId="4" w16cid:durableId="1766421074">
    <w:abstractNumId w:val="7"/>
  </w:num>
  <w:num w:numId="5" w16cid:durableId="1225413218">
    <w:abstractNumId w:val="8"/>
  </w:num>
  <w:num w:numId="6" w16cid:durableId="2121487363">
    <w:abstractNumId w:val="6"/>
  </w:num>
  <w:num w:numId="7" w16cid:durableId="864755334">
    <w:abstractNumId w:val="10"/>
  </w:num>
  <w:num w:numId="8" w16cid:durableId="1615820307">
    <w:abstractNumId w:val="4"/>
  </w:num>
  <w:num w:numId="9" w16cid:durableId="1312324965">
    <w:abstractNumId w:val="12"/>
  </w:num>
  <w:num w:numId="10" w16cid:durableId="1630361931">
    <w:abstractNumId w:val="28"/>
  </w:num>
  <w:num w:numId="11" w16cid:durableId="1419904082">
    <w:abstractNumId w:val="20"/>
  </w:num>
  <w:num w:numId="12" w16cid:durableId="795875650">
    <w:abstractNumId w:val="18"/>
  </w:num>
  <w:num w:numId="13" w16cid:durableId="1085030559">
    <w:abstractNumId w:val="26"/>
  </w:num>
  <w:num w:numId="14" w16cid:durableId="1266965743">
    <w:abstractNumId w:val="3"/>
  </w:num>
  <w:num w:numId="15" w16cid:durableId="1775518146">
    <w:abstractNumId w:val="21"/>
  </w:num>
  <w:num w:numId="16" w16cid:durableId="1317228650">
    <w:abstractNumId w:val="24"/>
  </w:num>
  <w:num w:numId="17" w16cid:durableId="1583249518">
    <w:abstractNumId w:val="1"/>
  </w:num>
  <w:num w:numId="18" w16cid:durableId="2088185914">
    <w:abstractNumId w:val="9"/>
  </w:num>
  <w:num w:numId="19" w16cid:durableId="1927420265">
    <w:abstractNumId w:val="23"/>
  </w:num>
  <w:num w:numId="20" w16cid:durableId="1231885174">
    <w:abstractNumId w:val="29"/>
  </w:num>
  <w:num w:numId="21" w16cid:durableId="767889177">
    <w:abstractNumId w:val="22"/>
  </w:num>
  <w:num w:numId="22" w16cid:durableId="1558855914">
    <w:abstractNumId w:val="14"/>
  </w:num>
  <w:num w:numId="23" w16cid:durableId="1363869957">
    <w:abstractNumId w:val="16"/>
  </w:num>
  <w:num w:numId="24" w16cid:durableId="1623875936">
    <w:abstractNumId w:val="27"/>
    <w:lvlOverride w:ilvl="0">
      <w:lvl w:ilvl="0">
        <w:numFmt w:val="lowerLetter"/>
        <w:lvlText w:val="%1."/>
        <w:lvlJc w:val="left"/>
      </w:lvl>
    </w:lvlOverride>
  </w:num>
  <w:num w:numId="25" w16cid:durableId="2046632907">
    <w:abstractNumId w:val="27"/>
    <w:lvlOverride w:ilvl="0">
      <w:lvl w:ilvl="0">
        <w:numFmt w:val="lowerLetter"/>
        <w:lvlText w:val="%1."/>
        <w:lvlJc w:val="left"/>
      </w:lvl>
    </w:lvlOverride>
  </w:num>
  <w:num w:numId="26" w16cid:durableId="1763991720">
    <w:abstractNumId w:val="27"/>
    <w:lvlOverride w:ilvl="0">
      <w:lvl w:ilvl="0">
        <w:numFmt w:val="lowerLetter"/>
        <w:lvlText w:val="%1."/>
        <w:lvlJc w:val="left"/>
      </w:lvl>
    </w:lvlOverride>
  </w:num>
  <w:num w:numId="27" w16cid:durableId="162011157">
    <w:abstractNumId w:val="17"/>
  </w:num>
  <w:num w:numId="28" w16cid:durableId="1488936432">
    <w:abstractNumId w:val="5"/>
  </w:num>
  <w:num w:numId="29" w16cid:durableId="1490242949">
    <w:abstractNumId w:val="15"/>
  </w:num>
  <w:num w:numId="30" w16cid:durableId="1553149776">
    <w:abstractNumId w:val="11"/>
  </w:num>
  <w:num w:numId="31" w16cid:durableId="1451316013">
    <w:abstractNumId w:val="0"/>
  </w:num>
  <w:num w:numId="32" w16cid:durableId="12248741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26"/>
    <w:rsid w:val="00017B09"/>
    <w:rsid w:val="0004073E"/>
    <w:rsid w:val="00073B20"/>
    <w:rsid w:val="000E39FE"/>
    <w:rsid w:val="00106B22"/>
    <w:rsid w:val="00160082"/>
    <w:rsid w:val="001F0AE0"/>
    <w:rsid w:val="001F3929"/>
    <w:rsid w:val="00206331"/>
    <w:rsid w:val="00373328"/>
    <w:rsid w:val="003A3281"/>
    <w:rsid w:val="003C5D5D"/>
    <w:rsid w:val="003C734A"/>
    <w:rsid w:val="003E02C5"/>
    <w:rsid w:val="003F7BAB"/>
    <w:rsid w:val="00400E3A"/>
    <w:rsid w:val="0040795A"/>
    <w:rsid w:val="00430D66"/>
    <w:rsid w:val="00443D28"/>
    <w:rsid w:val="004822E4"/>
    <w:rsid w:val="0050237B"/>
    <w:rsid w:val="0053345C"/>
    <w:rsid w:val="00533ABA"/>
    <w:rsid w:val="00553296"/>
    <w:rsid w:val="0055573F"/>
    <w:rsid w:val="00576868"/>
    <w:rsid w:val="005D1594"/>
    <w:rsid w:val="00674412"/>
    <w:rsid w:val="00694B64"/>
    <w:rsid w:val="00701FF0"/>
    <w:rsid w:val="007177F2"/>
    <w:rsid w:val="007434F9"/>
    <w:rsid w:val="00786820"/>
    <w:rsid w:val="00797E3A"/>
    <w:rsid w:val="007F0361"/>
    <w:rsid w:val="00833299"/>
    <w:rsid w:val="00886466"/>
    <w:rsid w:val="008B522E"/>
    <w:rsid w:val="008E3072"/>
    <w:rsid w:val="00955F66"/>
    <w:rsid w:val="00970B79"/>
    <w:rsid w:val="00992C5F"/>
    <w:rsid w:val="00993F91"/>
    <w:rsid w:val="009B010A"/>
    <w:rsid w:val="00A10E3F"/>
    <w:rsid w:val="00A31BE0"/>
    <w:rsid w:val="00A5309A"/>
    <w:rsid w:val="00AB0B92"/>
    <w:rsid w:val="00AB438C"/>
    <w:rsid w:val="00AB6C5D"/>
    <w:rsid w:val="00AC36FD"/>
    <w:rsid w:val="00AC39B1"/>
    <w:rsid w:val="00AD48B3"/>
    <w:rsid w:val="00AD5B19"/>
    <w:rsid w:val="00B25E62"/>
    <w:rsid w:val="00B70A26"/>
    <w:rsid w:val="00B81DD3"/>
    <w:rsid w:val="00B83A98"/>
    <w:rsid w:val="00B83B85"/>
    <w:rsid w:val="00BB1A1F"/>
    <w:rsid w:val="00BB7DE9"/>
    <w:rsid w:val="00BD3691"/>
    <w:rsid w:val="00C23997"/>
    <w:rsid w:val="00C27A4F"/>
    <w:rsid w:val="00C5639C"/>
    <w:rsid w:val="00C57603"/>
    <w:rsid w:val="00C6384F"/>
    <w:rsid w:val="00CA38DB"/>
    <w:rsid w:val="00CD7E03"/>
    <w:rsid w:val="00D064B2"/>
    <w:rsid w:val="00D4760B"/>
    <w:rsid w:val="00D50C07"/>
    <w:rsid w:val="00DB00AA"/>
    <w:rsid w:val="00E11468"/>
    <w:rsid w:val="00E16E0A"/>
    <w:rsid w:val="00E21296"/>
    <w:rsid w:val="00E55A57"/>
    <w:rsid w:val="00E70891"/>
    <w:rsid w:val="00E82BF4"/>
    <w:rsid w:val="00EE4C5A"/>
    <w:rsid w:val="00F0120D"/>
    <w:rsid w:val="00FB37A9"/>
    <w:rsid w:val="00FE45DB"/>
    <w:rsid w:val="00FF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CDE1A"/>
  <w15:chartTrackingRefBased/>
  <w15:docId w15:val="{ABDB9327-6FB5-40B8-B7FB-3FC0F3D9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B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70A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A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438C"/>
    <w:pPr>
      <w:keepNext/>
      <w:keepLines/>
      <w:spacing w:before="40"/>
      <w:outlineLvl w:val="2"/>
    </w:pPr>
    <w:rPr>
      <w:rFonts w:ascii="Segoe UI" w:eastAsiaTheme="majorEastAsia" w:hAnsi="Segoe UI" w:cs="Segoe UI"/>
      <w:color w:val="5C5D5F"/>
    </w:rPr>
  </w:style>
  <w:style w:type="paragraph" w:styleId="Heading4">
    <w:name w:val="heading 4"/>
    <w:basedOn w:val="Normal"/>
    <w:next w:val="Normal"/>
    <w:link w:val="Heading4Char"/>
    <w:uiPriority w:val="9"/>
    <w:unhideWhenUsed/>
    <w:qFormat/>
    <w:rsid w:val="00797E3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A26"/>
    <w:rPr>
      <w:rFonts w:ascii="Segoe UI" w:hAnsi="Segoe UI" w:cs="Segoe UI"/>
      <w:sz w:val="18"/>
      <w:szCs w:val="18"/>
    </w:rPr>
  </w:style>
  <w:style w:type="character" w:customStyle="1" w:styleId="Heading1Char">
    <w:name w:val="Heading 1 Char"/>
    <w:basedOn w:val="DefaultParagraphFont"/>
    <w:link w:val="Heading1"/>
    <w:uiPriority w:val="9"/>
    <w:rsid w:val="00B70A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0A2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70A26"/>
    <w:pPr>
      <w:outlineLvl w:val="9"/>
    </w:pPr>
  </w:style>
  <w:style w:type="paragraph" w:styleId="TOC1">
    <w:name w:val="toc 1"/>
    <w:basedOn w:val="Normal"/>
    <w:next w:val="Normal"/>
    <w:autoRedefine/>
    <w:uiPriority w:val="39"/>
    <w:unhideWhenUsed/>
    <w:rsid w:val="00B70A26"/>
    <w:pPr>
      <w:spacing w:after="100"/>
    </w:pPr>
  </w:style>
  <w:style w:type="paragraph" w:styleId="TOC2">
    <w:name w:val="toc 2"/>
    <w:basedOn w:val="Normal"/>
    <w:next w:val="Normal"/>
    <w:autoRedefine/>
    <w:uiPriority w:val="39"/>
    <w:unhideWhenUsed/>
    <w:rsid w:val="00B70A26"/>
    <w:pPr>
      <w:spacing w:after="100"/>
      <w:ind w:left="220"/>
    </w:pPr>
  </w:style>
  <w:style w:type="character" w:styleId="Hyperlink">
    <w:name w:val="Hyperlink"/>
    <w:basedOn w:val="DefaultParagraphFont"/>
    <w:uiPriority w:val="99"/>
    <w:unhideWhenUsed/>
    <w:rsid w:val="00B70A26"/>
    <w:rPr>
      <w:color w:val="0563C1" w:themeColor="hyperlink"/>
      <w:u w:val="single"/>
    </w:rPr>
  </w:style>
  <w:style w:type="paragraph" w:styleId="ListParagraph">
    <w:name w:val="List Paragraph"/>
    <w:basedOn w:val="Normal"/>
    <w:uiPriority w:val="34"/>
    <w:qFormat/>
    <w:rsid w:val="00C6384F"/>
    <w:pPr>
      <w:ind w:left="720"/>
      <w:contextualSpacing/>
    </w:pPr>
  </w:style>
  <w:style w:type="character" w:customStyle="1" w:styleId="Heading4Char">
    <w:name w:val="Heading 4 Char"/>
    <w:basedOn w:val="DefaultParagraphFont"/>
    <w:link w:val="Heading4"/>
    <w:uiPriority w:val="9"/>
    <w:rsid w:val="00797E3A"/>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AB438C"/>
    <w:rPr>
      <w:rFonts w:ascii="Segoe UI" w:eastAsiaTheme="majorEastAsia" w:hAnsi="Segoe UI" w:cs="Segoe UI"/>
      <w:color w:val="5C5D5F"/>
      <w:szCs w:val="24"/>
    </w:rPr>
  </w:style>
  <w:style w:type="paragraph" w:customStyle="1" w:styleId="TableParagraph">
    <w:name w:val="Table Paragraph"/>
    <w:basedOn w:val="Normal"/>
    <w:uiPriority w:val="1"/>
    <w:qFormat/>
    <w:rsid w:val="000E39FE"/>
    <w:pPr>
      <w:widowControl w:val="0"/>
      <w:autoSpaceDE w:val="0"/>
      <w:autoSpaceDN w:val="0"/>
      <w:ind w:left="115"/>
    </w:pPr>
    <w:rPr>
      <w:rFonts w:ascii="Calibri" w:eastAsia="Calibri" w:hAnsi="Calibri" w:cs="Calibri"/>
      <w:lang w:bidi="en-US"/>
    </w:rPr>
  </w:style>
  <w:style w:type="paragraph" w:styleId="Header">
    <w:name w:val="header"/>
    <w:basedOn w:val="Normal"/>
    <w:link w:val="HeaderChar"/>
    <w:uiPriority w:val="99"/>
    <w:unhideWhenUsed/>
    <w:rsid w:val="00B83A98"/>
    <w:pPr>
      <w:tabs>
        <w:tab w:val="center" w:pos="4680"/>
        <w:tab w:val="right" w:pos="9360"/>
      </w:tabs>
    </w:pPr>
  </w:style>
  <w:style w:type="character" w:customStyle="1" w:styleId="HeaderChar">
    <w:name w:val="Header Char"/>
    <w:basedOn w:val="DefaultParagraphFont"/>
    <w:link w:val="Header"/>
    <w:uiPriority w:val="99"/>
    <w:rsid w:val="00B83A98"/>
  </w:style>
  <w:style w:type="paragraph" w:styleId="Footer">
    <w:name w:val="footer"/>
    <w:basedOn w:val="Normal"/>
    <w:link w:val="FooterChar"/>
    <w:uiPriority w:val="99"/>
    <w:unhideWhenUsed/>
    <w:rsid w:val="00B83A98"/>
    <w:pPr>
      <w:tabs>
        <w:tab w:val="center" w:pos="4680"/>
        <w:tab w:val="right" w:pos="9360"/>
      </w:tabs>
    </w:pPr>
  </w:style>
  <w:style w:type="character" w:customStyle="1" w:styleId="FooterChar">
    <w:name w:val="Footer Char"/>
    <w:basedOn w:val="DefaultParagraphFont"/>
    <w:link w:val="Footer"/>
    <w:uiPriority w:val="99"/>
    <w:rsid w:val="00B83A98"/>
  </w:style>
  <w:style w:type="character" w:customStyle="1" w:styleId="UnresolvedMention1">
    <w:name w:val="Unresolved Mention1"/>
    <w:basedOn w:val="DefaultParagraphFont"/>
    <w:uiPriority w:val="99"/>
    <w:semiHidden/>
    <w:unhideWhenUsed/>
    <w:rsid w:val="00E21296"/>
    <w:rPr>
      <w:color w:val="605E5C"/>
      <w:shd w:val="clear" w:color="auto" w:fill="E1DFDD"/>
    </w:rPr>
  </w:style>
  <w:style w:type="paragraph" w:styleId="TOC3">
    <w:name w:val="toc 3"/>
    <w:basedOn w:val="Normal"/>
    <w:next w:val="Normal"/>
    <w:autoRedefine/>
    <w:uiPriority w:val="39"/>
    <w:unhideWhenUsed/>
    <w:rsid w:val="003C5D5D"/>
    <w:pPr>
      <w:spacing w:after="100"/>
      <w:ind w:left="440"/>
    </w:pPr>
  </w:style>
  <w:style w:type="paragraph" w:styleId="TOC4">
    <w:name w:val="toc 4"/>
    <w:basedOn w:val="Normal"/>
    <w:next w:val="Normal"/>
    <w:autoRedefine/>
    <w:uiPriority w:val="39"/>
    <w:unhideWhenUsed/>
    <w:rsid w:val="003C5D5D"/>
    <w:pPr>
      <w:spacing w:after="100"/>
      <w:ind w:left="660"/>
    </w:pPr>
    <w:rPr>
      <w:rFonts w:eastAsiaTheme="minorEastAsia"/>
    </w:rPr>
  </w:style>
  <w:style w:type="paragraph" w:styleId="TOC5">
    <w:name w:val="toc 5"/>
    <w:basedOn w:val="Normal"/>
    <w:next w:val="Normal"/>
    <w:autoRedefine/>
    <w:uiPriority w:val="39"/>
    <w:unhideWhenUsed/>
    <w:rsid w:val="003C5D5D"/>
    <w:pPr>
      <w:spacing w:after="100"/>
      <w:ind w:left="880"/>
    </w:pPr>
    <w:rPr>
      <w:rFonts w:eastAsiaTheme="minorEastAsia"/>
    </w:rPr>
  </w:style>
  <w:style w:type="paragraph" w:styleId="TOC6">
    <w:name w:val="toc 6"/>
    <w:basedOn w:val="Normal"/>
    <w:next w:val="Normal"/>
    <w:autoRedefine/>
    <w:uiPriority w:val="39"/>
    <w:unhideWhenUsed/>
    <w:rsid w:val="003C5D5D"/>
    <w:pPr>
      <w:spacing w:after="100"/>
      <w:ind w:left="1100"/>
    </w:pPr>
    <w:rPr>
      <w:rFonts w:eastAsiaTheme="minorEastAsia"/>
    </w:rPr>
  </w:style>
  <w:style w:type="paragraph" w:styleId="TOC7">
    <w:name w:val="toc 7"/>
    <w:basedOn w:val="Normal"/>
    <w:next w:val="Normal"/>
    <w:autoRedefine/>
    <w:uiPriority w:val="39"/>
    <w:unhideWhenUsed/>
    <w:rsid w:val="003C5D5D"/>
    <w:pPr>
      <w:spacing w:after="100"/>
      <w:ind w:left="1320"/>
    </w:pPr>
    <w:rPr>
      <w:rFonts w:eastAsiaTheme="minorEastAsia"/>
    </w:rPr>
  </w:style>
  <w:style w:type="paragraph" w:styleId="TOC8">
    <w:name w:val="toc 8"/>
    <w:basedOn w:val="Normal"/>
    <w:next w:val="Normal"/>
    <w:autoRedefine/>
    <w:uiPriority w:val="39"/>
    <w:unhideWhenUsed/>
    <w:rsid w:val="003C5D5D"/>
    <w:pPr>
      <w:spacing w:after="100"/>
      <w:ind w:left="1540"/>
    </w:pPr>
    <w:rPr>
      <w:rFonts w:eastAsiaTheme="minorEastAsia"/>
    </w:rPr>
  </w:style>
  <w:style w:type="paragraph" w:styleId="TOC9">
    <w:name w:val="toc 9"/>
    <w:basedOn w:val="Normal"/>
    <w:next w:val="Normal"/>
    <w:autoRedefine/>
    <w:uiPriority w:val="39"/>
    <w:unhideWhenUsed/>
    <w:rsid w:val="003C5D5D"/>
    <w:pPr>
      <w:spacing w:after="100"/>
      <w:ind w:left="1760"/>
    </w:pPr>
    <w:rPr>
      <w:rFonts w:eastAsiaTheme="minorEastAsia"/>
    </w:rPr>
  </w:style>
  <w:style w:type="character" w:styleId="CommentReference">
    <w:name w:val="annotation reference"/>
    <w:basedOn w:val="DefaultParagraphFont"/>
    <w:uiPriority w:val="99"/>
    <w:semiHidden/>
    <w:unhideWhenUsed/>
    <w:rsid w:val="007177F2"/>
    <w:rPr>
      <w:sz w:val="16"/>
      <w:szCs w:val="16"/>
    </w:rPr>
  </w:style>
  <w:style w:type="paragraph" w:styleId="CommentText">
    <w:name w:val="annotation text"/>
    <w:basedOn w:val="Normal"/>
    <w:link w:val="CommentTextChar"/>
    <w:uiPriority w:val="99"/>
    <w:semiHidden/>
    <w:unhideWhenUsed/>
    <w:rsid w:val="007177F2"/>
    <w:rPr>
      <w:sz w:val="20"/>
      <w:szCs w:val="20"/>
    </w:rPr>
  </w:style>
  <w:style w:type="character" w:customStyle="1" w:styleId="CommentTextChar">
    <w:name w:val="Comment Text Char"/>
    <w:basedOn w:val="DefaultParagraphFont"/>
    <w:link w:val="CommentText"/>
    <w:uiPriority w:val="99"/>
    <w:semiHidden/>
    <w:rsid w:val="007177F2"/>
    <w:rPr>
      <w:sz w:val="20"/>
      <w:szCs w:val="20"/>
    </w:rPr>
  </w:style>
  <w:style w:type="paragraph" w:styleId="CommentSubject">
    <w:name w:val="annotation subject"/>
    <w:basedOn w:val="CommentText"/>
    <w:next w:val="CommentText"/>
    <w:link w:val="CommentSubjectChar"/>
    <w:uiPriority w:val="99"/>
    <w:semiHidden/>
    <w:unhideWhenUsed/>
    <w:rsid w:val="007177F2"/>
    <w:rPr>
      <w:b/>
      <w:bCs/>
    </w:rPr>
  </w:style>
  <w:style w:type="character" w:customStyle="1" w:styleId="CommentSubjectChar">
    <w:name w:val="Comment Subject Char"/>
    <w:basedOn w:val="CommentTextChar"/>
    <w:link w:val="CommentSubject"/>
    <w:uiPriority w:val="99"/>
    <w:semiHidden/>
    <w:rsid w:val="007177F2"/>
    <w:rPr>
      <w:b/>
      <w:bCs/>
      <w:sz w:val="20"/>
      <w:szCs w:val="20"/>
    </w:rPr>
  </w:style>
  <w:style w:type="character" w:styleId="UnresolvedMention">
    <w:name w:val="Unresolved Mention"/>
    <w:basedOn w:val="DefaultParagraphFont"/>
    <w:uiPriority w:val="99"/>
    <w:semiHidden/>
    <w:unhideWhenUsed/>
    <w:rsid w:val="007F0361"/>
    <w:rPr>
      <w:color w:val="605E5C"/>
      <w:shd w:val="clear" w:color="auto" w:fill="E1DFDD"/>
    </w:rPr>
  </w:style>
  <w:style w:type="character" w:styleId="FollowedHyperlink">
    <w:name w:val="FollowedHyperlink"/>
    <w:basedOn w:val="DefaultParagraphFont"/>
    <w:uiPriority w:val="99"/>
    <w:semiHidden/>
    <w:unhideWhenUsed/>
    <w:rsid w:val="004822E4"/>
    <w:rPr>
      <w:color w:val="954F72" w:themeColor="followedHyperlink"/>
      <w:u w:val="single"/>
    </w:rPr>
  </w:style>
  <w:style w:type="paragraph" w:customStyle="1" w:styleId="SBEHeaderblue">
    <w:name w:val="SBE Header blue"/>
    <w:basedOn w:val="Normal"/>
    <w:qFormat/>
    <w:rsid w:val="00AC39B1"/>
    <w:pPr>
      <w:spacing w:after="120"/>
    </w:pPr>
    <w:rPr>
      <w:b/>
      <w:bCs/>
      <w:color w:val="38819E"/>
      <w:sz w:val="26"/>
      <w:szCs w:val="26"/>
    </w:rPr>
  </w:style>
  <w:style w:type="paragraph" w:customStyle="1" w:styleId="SBEHeaderRed">
    <w:name w:val="SBE Header Red"/>
    <w:basedOn w:val="Heading1"/>
    <w:qFormat/>
    <w:rsid w:val="001F3929"/>
    <w:pPr>
      <w:spacing w:after="240"/>
    </w:pPr>
    <w:rPr>
      <w:rFonts w:ascii="Segoe UI" w:hAnsi="Segoe UI" w:cs="Segoe UI"/>
      <w:b/>
      <w:bCs/>
      <w:color w:val="5A0A0C"/>
      <w:sz w:val="28"/>
    </w:rPr>
  </w:style>
  <w:style w:type="paragraph" w:customStyle="1" w:styleId="SBEhyperlink">
    <w:name w:val="SBE hyperlink"/>
    <w:basedOn w:val="Normal"/>
    <w:qFormat/>
    <w:rsid w:val="00AC39B1"/>
  </w:style>
  <w:style w:type="paragraph" w:styleId="NormalWeb">
    <w:name w:val="Normal (Web)"/>
    <w:basedOn w:val="Normal"/>
    <w:uiPriority w:val="99"/>
    <w:unhideWhenUsed/>
    <w:rsid w:val="00970B79"/>
  </w:style>
  <w:style w:type="paragraph" w:customStyle="1" w:styleId="SBEnormal">
    <w:name w:val="SBE normal"/>
    <w:basedOn w:val="Normal"/>
    <w:qFormat/>
    <w:rsid w:val="00AC39B1"/>
  </w:style>
  <w:style w:type="paragraph" w:customStyle="1" w:styleId="SBEsubheadergray">
    <w:name w:val="SBE sub header gray"/>
    <w:basedOn w:val="Normal"/>
    <w:qFormat/>
    <w:rsid w:val="00AC39B1"/>
    <w:rPr>
      <w:b/>
      <w:bCs/>
      <w:color w:val="5C5D5F"/>
    </w:rPr>
  </w:style>
  <w:style w:type="paragraph" w:styleId="FootnoteText">
    <w:name w:val="footnote text"/>
    <w:basedOn w:val="Normal"/>
    <w:link w:val="FootnoteTextChar"/>
    <w:uiPriority w:val="99"/>
    <w:semiHidden/>
    <w:unhideWhenUsed/>
    <w:rsid w:val="00CA38DB"/>
    <w:rPr>
      <w:sz w:val="20"/>
      <w:szCs w:val="20"/>
    </w:rPr>
  </w:style>
  <w:style w:type="character" w:customStyle="1" w:styleId="FootnoteTextChar">
    <w:name w:val="Footnote Text Char"/>
    <w:basedOn w:val="DefaultParagraphFont"/>
    <w:link w:val="FootnoteText"/>
    <w:uiPriority w:val="99"/>
    <w:semiHidden/>
    <w:rsid w:val="00CA38D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8DB"/>
    <w:rPr>
      <w:vertAlign w:val="superscript"/>
    </w:rPr>
  </w:style>
  <w:style w:type="table" w:styleId="TableGrid">
    <w:name w:val="Table Grid"/>
    <w:basedOn w:val="TableNormal"/>
    <w:uiPriority w:val="39"/>
    <w:rsid w:val="00D50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00304">
      <w:bodyDiv w:val="1"/>
      <w:marLeft w:val="0"/>
      <w:marRight w:val="0"/>
      <w:marTop w:val="0"/>
      <w:marBottom w:val="0"/>
      <w:divBdr>
        <w:top w:val="none" w:sz="0" w:space="0" w:color="auto"/>
        <w:left w:val="none" w:sz="0" w:space="0" w:color="auto"/>
        <w:bottom w:val="none" w:sz="0" w:space="0" w:color="auto"/>
        <w:right w:val="none" w:sz="0" w:space="0" w:color="auto"/>
      </w:divBdr>
    </w:div>
    <w:div w:id="464661618">
      <w:bodyDiv w:val="1"/>
      <w:marLeft w:val="0"/>
      <w:marRight w:val="0"/>
      <w:marTop w:val="0"/>
      <w:marBottom w:val="0"/>
      <w:divBdr>
        <w:top w:val="none" w:sz="0" w:space="0" w:color="auto"/>
        <w:left w:val="none" w:sz="0" w:space="0" w:color="auto"/>
        <w:bottom w:val="none" w:sz="0" w:space="0" w:color="auto"/>
        <w:right w:val="none" w:sz="0" w:space="0" w:color="auto"/>
      </w:divBdr>
    </w:div>
    <w:div w:id="528421889">
      <w:bodyDiv w:val="1"/>
      <w:marLeft w:val="0"/>
      <w:marRight w:val="0"/>
      <w:marTop w:val="0"/>
      <w:marBottom w:val="0"/>
      <w:divBdr>
        <w:top w:val="none" w:sz="0" w:space="0" w:color="auto"/>
        <w:left w:val="none" w:sz="0" w:space="0" w:color="auto"/>
        <w:bottom w:val="none" w:sz="0" w:space="0" w:color="auto"/>
        <w:right w:val="none" w:sz="0" w:space="0" w:color="auto"/>
      </w:divBdr>
    </w:div>
    <w:div w:id="702678367">
      <w:bodyDiv w:val="1"/>
      <w:marLeft w:val="0"/>
      <w:marRight w:val="0"/>
      <w:marTop w:val="0"/>
      <w:marBottom w:val="0"/>
      <w:divBdr>
        <w:top w:val="none" w:sz="0" w:space="0" w:color="auto"/>
        <w:left w:val="none" w:sz="0" w:space="0" w:color="auto"/>
        <w:bottom w:val="none" w:sz="0" w:space="0" w:color="auto"/>
        <w:right w:val="none" w:sz="0" w:space="0" w:color="auto"/>
      </w:divBdr>
    </w:div>
    <w:div w:id="843516604">
      <w:bodyDiv w:val="1"/>
      <w:marLeft w:val="0"/>
      <w:marRight w:val="0"/>
      <w:marTop w:val="0"/>
      <w:marBottom w:val="0"/>
      <w:divBdr>
        <w:top w:val="none" w:sz="0" w:space="0" w:color="auto"/>
        <w:left w:val="none" w:sz="0" w:space="0" w:color="auto"/>
        <w:bottom w:val="none" w:sz="0" w:space="0" w:color="auto"/>
        <w:right w:val="none" w:sz="0" w:space="0" w:color="auto"/>
      </w:divBdr>
    </w:div>
    <w:div w:id="887451822">
      <w:bodyDiv w:val="1"/>
      <w:marLeft w:val="0"/>
      <w:marRight w:val="0"/>
      <w:marTop w:val="0"/>
      <w:marBottom w:val="0"/>
      <w:divBdr>
        <w:top w:val="none" w:sz="0" w:space="0" w:color="auto"/>
        <w:left w:val="none" w:sz="0" w:space="0" w:color="auto"/>
        <w:bottom w:val="none" w:sz="0" w:space="0" w:color="auto"/>
        <w:right w:val="none" w:sz="0" w:space="0" w:color="auto"/>
      </w:divBdr>
    </w:div>
    <w:div w:id="894897660">
      <w:bodyDiv w:val="1"/>
      <w:marLeft w:val="0"/>
      <w:marRight w:val="0"/>
      <w:marTop w:val="0"/>
      <w:marBottom w:val="0"/>
      <w:divBdr>
        <w:top w:val="none" w:sz="0" w:space="0" w:color="auto"/>
        <w:left w:val="none" w:sz="0" w:space="0" w:color="auto"/>
        <w:bottom w:val="none" w:sz="0" w:space="0" w:color="auto"/>
        <w:right w:val="none" w:sz="0" w:space="0" w:color="auto"/>
      </w:divBdr>
    </w:div>
    <w:div w:id="1021123212">
      <w:bodyDiv w:val="1"/>
      <w:marLeft w:val="0"/>
      <w:marRight w:val="0"/>
      <w:marTop w:val="0"/>
      <w:marBottom w:val="0"/>
      <w:divBdr>
        <w:top w:val="none" w:sz="0" w:space="0" w:color="auto"/>
        <w:left w:val="none" w:sz="0" w:space="0" w:color="auto"/>
        <w:bottom w:val="none" w:sz="0" w:space="0" w:color="auto"/>
        <w:right w:val="none" w:sz="0" w:space="0" w:color="auto"/>
      </w:divBdr>
    </w:div>
    <w:div w:id="1039823290">
      <w:bodyDiv w:val="1"/>
      <w:marLeft w:val="0"/>
      <w:marRight w:val="0"/>
      <w:marTop w:val="0"/>
      <w:marBottom w:val="0"/>
      <w:divBdr>
        <w:top w:val="none" w:sz="0" w:space="0" w:color="auto"/>
        <w:left w:val="none" w:sz="0" w:space="0" w:color="auto"/>
        <w:bottom w:val="none" w:sz="0" w:space="0" w:color="auto"/>
        <w:right w:val="none" w:sz="0" w:space="0" w:color="auto"/>
      </w:divBdr>
    </w:div>
    <w:div w:id="1053115613">
      <w:bodyDiv w:val="1"/>
      <w:marLeft w:val="0"/>
      <w:marRight w:val="0"/>
      <w:marTop w:val="0"/>
      <w:marBottom w:val="0"/>
      <w:divBdr>
        <w:top w:val="none" w:sz="0" w:space="0" w:color="auto"/>
        <w:left w:val="none" w:sz="0" w:space="0" w:color="auto"/>
        <w:bottom w:val="none" w:sz="0" w:space="0" w:color="auto"/>
        <w:right w:val="none" w:sz="0" w:space="0" w:color="auto"/>
      </w:divBdr>
    </w:div>
    <w:div w:id="1091193767">
      <w:bodyDiv w:val="1"/>
      <w:marLeft w:val="0"/>
      <w:marRight w:val="0"/>
      <w:marTop w:val="0"/>
      <w:marBottom w:val="0"/>
      <w:divBdr>
        <w:top w:val="none" w:sz="0" w:space="0" w:color="auto"/>
        <w:left w:val="none" w:sz="0" w:space="0" w:color="auto"/>
        <w:bottom w:val="none" w:sz="0" w:space="0" w:color="auto"/>
        <w:right w:val="none" w:sz="0" w:space="0" w:color="auto"/>
      </w:divBdr>
    </w:div>
    <w:div w:id="1118793917">
      <w:bodyDiv w:val="1"/>
      <w:marLeft w:val="0"/>
      <w:marRight w:val="0"/>
      <w:marTop w:val="0"/>
      <w:marBottom w:val="0"/>
      <w:divBdr>
        <w:top w:val="none" w:sz="0" w:space="0" w:color="auto"/>
        <w:left w:val="none" w:sz="0" w:space="0" w:color="auto"/>
        <w:bottom w:val="none" w:sz="0" w:space="0" w:color="auto"/>
        <w:right w:val="none" w:sz="0" w:space="0" w:color="auto"/>
      </w:divBdr>
    </w:div>
    <w:div w:id="1174148662">
      <w:bodyDiv w:val="1"/>
      <w:marLeft w:val="0"/>
      <w:marRight w:val="0"/>
      <w:marTop w:val="0"/>
      <w:marBottom w:val="0"/>
      <w:divBdr>
        <w:top w:val="none" w:sz="0" w:space="0" w:color="auto"/>
        <w:left w:val="none" w:sz="0" w:space="0" w:color="auto"/>
        <w:bottom w:val="none" w:sz="0" w:space="0" w:color="auto"/>
        <w:right w:val="none" w:sz="0" w:space="0" w:color="auto"/>
      </w:divBdr>
    </w:div>
    <w:div w:id="1244994639">
      <w:bodyDiv w:val="1"/>
      <w:marLeft w:val="0"/>
      <w:marRight w:val="0"/>
      <w:marTop w:val="0"/>
      <w:marBottom w:val="0"/>
      <w:divBdr>
        <w:top w:val="none" w:sz="0" w:space="0" w:color="auto"/>
        <w:left w:val="none" w:sz="0" w:space="0" w:color="auto"/>
        <w:bottom w:val="none" w:sz="0" w:space="0" w:color="auto"/>
        <w:right w:val="none" w:sz="0" w:space="0" w:color="auto"/>
      </w:divBdr>
    </w:div>
    <w:div w:id="1282568148">
      <w:bodyDiv w:val="1"/>
      <w:marLeft w:val="0"/>
      <w:marRight w:val="0"/>
      <w:marTop w:val="0"/>
      <w:marBottom w:val="0"/>
      <w:divBdr>
        <w:top w:val="none" w:sz="0" w:space="0" w:color="auto"/>
        <w:left w:val="none" w:sz="0" w:space="0" w:color="auto"/>
        <w:bottom w:val="none" w:sz="0" w:space="0" w:color="auto"/>
        <w:right w:val="none" w:sz="0" w:space="0" w:color="auto"/>
      </w:divBdr>
    </w:div>
    <w:div w:id="1399862253">
      <w:bodyDiv w:val="1"/>
      <w:marLeft w:val="0"/>
      <w:marRight w:val="0"/>
      <w:marTop w:val="0"/>
      <w:marBottom w:val="0"/>
      <w:divBdr>
        <w:top w:val="none" w:sz="0" w:space="0" w:color="auto"/>
        <w:left w:val="none" w:sz="0" w:space="0" w:color="auto"/>
        <w:bottom w:val="none" w:sz="0" w:space="0" w:color="auto"/>
        <w:right w:val="none" w:sz="0" w:space="0" w:color="auto"/>
      </w:divBdr>
    </w:div>
    <w:div w:id="1593589210">
      <w:bodyDiv w:val="1"/>
      <w:marLeft w:val="0"/>
      <w:marRight w:val="0"/>
      <w:marTop w:val="0"/>
      <w:marBottom w:val="0"/>
      <w:divBdr>
        <w:top w:val="none" w:sz="0" w:space="0" w:color="auto"/>
        <w:left w:val="none" w:sz="0" w:space="0" w:color="auto"/>
        <w:bottom w:val="none" w:sz="0" w:space="0" w:color="auto"/>
        <w:right w:val="none" w:sz="0" w:space="0" w:color="auto"/>
      </w:divBdr>
    </w:div>
    <w:div w:id="1596136541">
      <w:bodyDiv w:val="1"/>
      <w:marLeft w:val="0"/>
      <w:marRight w:val="0"/>
      <w:marTop w:val="0"/>
      <w:marBottom w:val="0"/>
      <w:divBdr>
        <w:top w:val="none" w:sz="0" w:space="0" w:color="auto"/>
        <w:left w:val="none" w:sz="0" w:space="0" w:color="auto"/>
        <w:bottom w:val="none" w:sz="0" w:space="0" w:color="auto"/>
        <w:right w:val="none" w:sz="0" w:space="0" w:color="auto"/>
      </w:divBdr>
    </w:div>
    <w:div w:id="1636906978">
      <w:bodyDiv w:val="1"/>
      <w:marLeft w:val="0"/>
      <w:marRight w:val="0"/>
      <w:marTop w:val="0"/>
      <w:marBottom w:val="0"/>
      <w:divBdr>
        <w:top w:val="none" w:sz="0" w:space="0" w:color="auto"/>
        <w:left w:val="none" w:sz="0" w:space="0" w:color="auto"/>
        <w:bottom w:val="none" w:sz="0" w:space="0" w:color="auto"/>
        <w:right w:val="none" w:sz="0" w:space="0" w:color="auto"/>
      </w:divBdr>
    </w:div>
    <w:div w:id="1706634643">
      <w:bodyDiv w:val="1"/>
      <w:marLeft w:val="0"/>
      <w:marRight w:val="0"/>
      <w:marTop w:val="0"/>
      <w:marBottom w:val="0"/>
      <w:divBdr>
        <w:top w:val="none" w:sz="0" w:space="0" w:color="auto"/>
        <w:left w:val="none" w:sz="0" w:space="0" w:color="auto"/>
        <w:bottom w:val="none" w:sz="0" w:space="0" w:color="auto"/>
        <w:right w:val="none" w:sz="0" w:space="0" w:color="auto"/>
      </w:divBdr>
    </w:div>
    <w:div w:id="1790591479">
      <w:bodyDiv w:val="1"/>
      <w:marLeft w:val="0"/>
      <w:marRight w:val="0"/>
      <w:marTop w:val="0"/>
      <w:marBottom w:val="0"/>
      <w:divBdr>
        <w:top w:val="none" w:sz="0" w:space="0" w:color="auto"/>
        <w:left w:val="none" w:sz="0" w:space="0" w:color="auto"/>
        <w:bottom w:val="none" w:sz="0" w:space="0" w:color="auto"/>
        <w:right w:val="none" w:sz="0" w:space="0" w:color="auto"/>
      </w:divBdr>
    </w:div>
    <w:div w:id="1957591486">
      <w:bodyDiv w:val="1"/>
      <w:marLeft w:val="0"/>
      <w:marRight w:val="0"/>
      <w:marTop w:val="0"/>
      <w:marBottom w:val="0"/>
      <w:divBdr>
        <w:top w:val="none" w:sz="0" w:space="0" w:color="auto"/>
        <w:left w:val="none" w:sz="0" w:space="0" w:color="auto"/>
        <w:bottom w:val="none" w:sz="0" w:space="0" w:color="auto"/>
        <w:right w:val="none" w:sz="0" w:space="0" w:color="auto"/>
      </w:divBdr>
    </w:div>
    <w:div w:id="20933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filesext.leg.wa.gov/biennium/2023-24/Pdf/Bills/Session%20Laws/House/1308.SL.pdf?q=20231129073023" TargetMode="External"/><Relationship Id="rId13" Type="http://schemas.openxmlformats.org/officeDocument/2006/relationships/hyperlink" Target="https://docs.google.com/document/d/1_CfaH58nh7vTy6vgTxq2z8pJRZSJ_kTOXJDTzsCc-1s/edit?usp=shar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document/d/1AM_FOV8Mc9FW4J__2cn7X_U3ahr9IW-MQ45tEkvfjzg/edit?usp=sharing" TargetMode="External"/><Relationship Id="rId17" Type="http://schemas.openxmlformats.org/officeDocument/2006/relationships/hyperlink" Target="https://www.onetonline.org/" TargetMode="External"/><Relationship Id="rId2" Type="http://schemas.openxmlformats.org/officeDocument/2006/relationships/numbering" Target="numbering.xml"/><Relationship Id="rId16" Type="http://schemas.openxmlformats.org/officeDocument/2006/relationships/hyperlink" Target="https://www.nctm.org/uploadedFiles/Standards_and_Positions/Catalyzing_Change/Essential_Concepts_CCH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i.k12.wa.us/sites/default/files/public/mathematics/assessment/gradehs/mathstandards_highschool.pdf" TargetMode="External"/><Relationship Id="rId5" Type="http://schemas.openxmlformats.org/officeDocument/2006/relationships/webSettings" Target="webSettings.xml"/><Relationship Id="rId15" Type="http://schemas.openxmlformats.org/officeDocument/2006/relationships/hyperlink" Target="https://www.sbe.wa.gov/our-work/profile-graduate" TargetMode="External"/><Relationship Id="rId10" Type="http://schemas.openxmlformats.org/officeDocument/2006/relationships/hyperlink" Target="https://www.sbe.wa.gov/our-work/high-school-and-beyond-pl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awfilesext.leg.wa.gov/biennium/2023-24/Pdf/Bills/Session%20Laws/House/1308.SL.pdf?q=20231129073023" TargetMode="External"/><Relationship Id="rId14" Type="http://schemas.openxmlformats.org/officeDocument/2006/relationships/hyperlink" Target="https://www.sbe.wa.gov/our-work/high-school-and-beyond-pla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sbe.wa.gov/" TargetMode="External"/><Relationship Id="rId2" Type="http://schemas.openxmlformats.org/officeDocument/2006/relationships/hyperlink" Target="https://www.greatschoolspartnership.org/" TargetMode="External"/><Relationship Id="rId1" Type="http://schemas.openxmlformats.org/officeDocument/2006/relationships/image" Target="media/image3.png"/><Relationship Id="rId4" Type="http://schemas.openxmlformats.org/officeDocument/2006/relationships/hyperlink" Target="http://creativecommons.org/licenses/by-nc-sa/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spi.k12.wa.us/sites/default/files/public/mathematics/assessment/gradehs/mathstandards_highschool.pdf" TargetMode="External"/><Relationship Id="rId2" Type="http://schemas.openxmlformats.org/officeDocument/2006/relationships/hyperlink" Target="https://ospi.k12.wa.us/sites/default/files/public/mathematics/assessment/gradehs/mathstandards_highschool.pdf" TargetMode="External"/><Relationship Id="rId1" Type="http://schemas.openxmlformats.org/officeDocument/2006/relationships/hyperlink" Target="https://lawfilesext.leg.wa.gov/biennium/2023-24/Pdf/Bills/Session%20Laws/House/1308.SL.pdf?q=2023112907302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501FB-D1AE-41DD-9086-F309F272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Davidsmeyer (SBE)</dc:creator>
  <cp:keywords/>
  <dc:description/>
  <cp:lastModifiedBy>Stephanie Davidsmeyer (SBE)</cp:lastModifiedBy>
  <cp:revision>6</cp:revision>
  <dcterms:created xsi:type="dcterms:W3CDTF">2024-02-01T21:27:00Z</dcterms:created>
  <dcterms:modified xsi:type="dcterms:W3CDTF">2024-03-05T18:40:00Z</dcterms:modified>
</cp:coreProperties>
</file>